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 основных итогах контрольного мероприятия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«Аудит эффективности использования бюджетных средств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создание и обеспечение деятельности </w:t>
      </w:r>
      <w:bookmarkStart w:id="0" w:name="__DdeLink__482_2110565273"/>
      <w:r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Western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казенного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учреждения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города Фрязино «Бизнес-центр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eastAsia="Times New Roman" w:cs="Times New Roman" w:ascii="Times New Roman" w:hAnsi="Times New Roman"/>
          <w:sz w:val="28"/>
          <w:szCs w:val="20"/>
          <w:u w:val="none"/>
        </w:rPr>
        <w:t>с п</w:t>
      </w:r>
      <w:r>
        <w:rPr>
          <w:rFonts w:eastAsia="Liberation Serif" w:cs="Liberation Serif" w:ascii="Times New Roman" w:hAnsi="Times New Roman"/>
          <w:color w:val="000000"/>
          <w:sz w:val="28"/>
          <w:szCs w:val="28"/>
        </w:rPr>
        <w:t>оручением Совета депутатов города Фрязино</w:t>
      </w:r>
      <w:r>
        <w:rPr>
          <w:rFonts w:eastAsia="Liberation Serif" w:cs="Liberation Serif" w:ascii="Times New Roman" w:hAnsi="Times New Roman"/>
          <w:sz w:val="28"/>
          <w:szCs w:val="28"/>
        </w:rPr>
        <w:t xml:space="preserve"> (решение СД от 30.03.2017 № 155)</w:t>
      </w:r>
      <w:r>
        <w:rPr>
          <w:rFonts w:eastAsia="Liberation Serif" w:cs="Liberation Serif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пунктом 2.6 плана работы Контрольно-счетной палаты города Фрязино на 2017 год, утвержденного распоряжением председателя Контрольно-счетной палаты от 30.12.2016 № 82 (в ред. от 03.04.2017)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период с 17 апреля по 05 мая 2017 года проведен аудит эффективности использования бюджетных средств на создание и обеспечение деятельности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казенного учреждения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г. Фрязино «Бизнес-центр»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(далее — МКУ «Бизнес-центр)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результате контрольного мероприятия установлено: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</w:rPr>
        <w:t xml:space="preserve">1)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2"/>
          <w:sz w:val="28"/>
          <w:szCs w:val="28"/>
        </w:rPr>
        <w:t>МКУ «Бизнес-центр»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ar-SA" w:bidi="hi-IN"/>
        </w:rPr>
        <w:t xml:space="preserve"> создано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постановлением Главы города Фрязино от 17.03.2016 № 152. </w:t>
      </w:r>
      <w:r>
        <w:rPr>
          <w:rFonts w:eastAsia="Arial" w:cs="Times New Roman" w:ascii="Times New Roman" w:hAnsi="Times New Roman"/>
          <w:spacing w:val="2"/>
          <w:sz w:val="28"/>
          <w:szCs w:val="28"/>
        </w:rPr>
        <w:t xml:space="preserve">Согласно Уставу учреждения основной целью деятельности МКУ «Бизнес-центр» является обеспечение проведения необходимых мероприятий (встреч, семинаров, форумов и прочее) на территории города Фрязино с участием заинтересованных юридических и физических лиц, направленных на развитие социально-экономической сферы, научно-производственного комплекса, научной, научно-технической, инновационной деятельности, производства наукоемкой продукции, подготовка кадров в соответствии с государственными приоритетами развития науки и техники, а также производственной деятельности предприятий и организаций всех форм собственности, расположенных в городском округе Фрязино.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 xml:space="preserve">Однако основная цель создания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pacing w:val="2"/>
          <w:sz w:val="28"/>
          <w:szCs w:val="28"/>
        </w:rPr>
        <w:t xml:space="preserve">МКУ «Бизнес-центр»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>дублирует функции действующего с 2013 года МКУ «Дирекция Наукограда».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Главы города от 17.08.2016 № 580 в Устав МКУ «Бизнес-центр» внесены изменения в части дополнения основных целей деятельности учреждения:</w:t>
      </w:r>
    </w:p>
    <w:p>
      <w:pPr>
        <w:pStyle w:val="Normal"/>
        <w:suppressAutoHyphens w:val="false"/>
        <w:ind w:firstLine="43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оказание населению услуг общественного питания;</w:t>
      </w:r>
    </w:p>
    <w:p>
      <w:pPr>
        <w:pStyle w:val="Normal"/>
        <w:suppressAutoHyphens w:val="false"/>
        <w:ind w:firstLine="431"/>
        <w:jc w:val="both"/>
        <w:rPr>
          <w:color w:val="000000"/>
          <w:sz w:val="28"/>
          <w:szCs w:val="28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>- выполнение работ и услуг, направленных на удовлетворение бытовых нужд населения.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создание условий для обеспечения жителей городского округа услугами связи, общественного питания, торговли и бытового обслуживания, что не означает обязанность органов местного самоуправления самостоятельно или путем создания муниципальных предприятий и учреждений обеспечивать предоставление населению указанных услуг, а лишь наделяет органы местного самоуправления обязанностью «сделать реально выполнимыми» указанные услуги на территории соответствующего муниципального образования при условии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когда эти задачи не может эффективно выполнять частный бизнес.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 xml:space="preserve"> городе Фрязино функционируют 48 частных объектов общественного питания и 125 частных объектов бытового обслуживания населения, в связи с чем, создание муниципального казенного учреждения, оказывающего населению услуги общественного питания и бытового обслуживания, является необоснованным.</w:t>
      </w:r>
    </w:p>
    <w:p>
      <w:pPr>
        <w:pStyle w:val="Normal"/>
        <w:suppressAutoHyphens w:val="false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Уставом МКУ «Бизнес-центр» определено право учреждения оказывать дополнительные платные услуги для граждан и юридических лиц.</w:t>
      </w:r>
    </w:p>
    <w:p>
      <w:pPr>
        <w:pStyle w:val="Normal"/>
        <w:suppressAutoHyphens w:val="false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Однако установленный перечень платных услуг полностью дублирует основные виды деятельности учреждения, в связи с чем, остается непонятным, чем же должен заниматься «Бизнес-центр» как муниципальное казенное учреждение, финансируемое за счет средств местного бюджета.</w:t>
      </w:r>
    </w:p>
    <w:p>
      <w:pPr>
        <w:pStyle w:val="Normal"/>
        <w:suppressAutoHyphens w:val="false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3) Несмотря на создание учреждения еще в марте 2016 года, бюджетные ассигнования учреждению на 2016 год решением о бюджете не утверждались. </w:t>
      </w:r>
    </w:p>
    <w:p>
      <w:pPr>
        <w:pStyle w:val="Normal"/>
        <w:suppressAutoHyphens w:val="false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Решением Совета депутатов города Фрязино от 01.12.2016 № 130 в бюджете города на 2017 год утверждены расходы на содержание МКУ «Бизнес-центр» в размере 1 млн. 300,0 тыс. руб. Однако и в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 xml:space="preserve"> 2017 году бюджетные расходы на содержание МКУ «Бизнес-центр» не производились. Учреждение  не заключило ни одного контракта, не проводило налоговые платежи, не приняло на работу ни одного сотрудника, кроме директора (тоже не получавшего зарплату), не провело ни единого мероприятия, связанного с его уставной деятельностью, что в соответствии со ст. 170 Гражданского кодекса РФ имеет признаки мнимой или притворной сделки, совершенной лишь для вида, без намерения создать соответствующие ей правовые последствия, либо с целью прикрыть другую сделку, в том числе сделку на иных условиях. </w:t>
      </w:r>
    </w:p>
    <w:p>
      <w:pPr>
        <w:pStyle w:val="Normal"/>
        <w:suppressAutoHyphens w:val="false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4) В проверяемый период МКУ «Бизнес-центр» осуществляло оказание платных услуг населению, о чем свидетельствует функционирование ресторана по ул. Вокзальная, д.2, автопарковки на 50 машиномест по ул. Первомайская д.19, мастерской по ремонту обуви, приемного пункта химчистки, ремонт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часов по ул. Советской д. 2,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мастерской по ремонту мебели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ул. Первомайская д.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19а.</w:t>
      </w:r>
    </w:p>
    <w:p>
      <w:pPr>
        <w:pStyle w:val="Western"/>
        <w:spacing w:before="0" w:after="0"/>
        <w:ind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>В нарушение ст. 161 Бюджетного кодекса РФ доходы МКУ «Бизнес-центр» от предпринимательской деятельности в бюджет города не поступали,  что может свидетельствовать о сокрытии учреждением доходов от предпринимательской деятельности.</w:t>
      </w:r>
    </w:p>
    <w:p>
      <w:pPr>
        <w:pStyle w:val="Normal"/>
        <w:suppressAutoHyphens w:val="false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Постановлением Главы города Фрязино от 31.05.2017 № 419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МКУ «Бизнес-центр» ликвидировано.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ru-RU"/>
        </w:rPr>
        <w:t>Материалы проверки Контрольно-счетной палаты переданы в правоохранительные органы.</w:t>
      </w:r>
    </w:p>
    <w:p>
      <w:pPr>
        <w:pStyle w:val="Normal"/>
        <w:spacing w:lineRule="auto" w:line="240" w:before="0" w:after="0"/>
        <w:jc w:val="both"/>
        <w:rPr>
          <w:rStyle w:val="Style11"/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/>
        <w:t>Председатель Контрольно-счетной палаты                                    Л.А. Панченко</w:t>
      </w:r>
    </w:p>
    <w:tbl>
      <w:tblPr>
        <w:tblW w:w="1095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51"/>
        <w:gridCol w:w="23"/>
        <w:gridCol w:w="2027"/>
        <w:gridCol w:w="879"/>
        <w:gridCol w:w="3884"/>
        <w:gridCol w:w="1594"/>
      </w:tblGrid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</w:rPr>
            </w:pPr>
            <w:r>
              <w:rPr>
                <w:rFonts w:eastAsia="Times New Roman" w:cs="Times New Roman" w:ascii="Times New Roman" w:hAnsi="Times New Roman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13" w:hanging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90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5" w:right="581" w:header="142" w:top="709" w:footer="720" w:bottom="777" w:gutter="0"/>
      <w:pgNumType w:fmt="decimal"/>
      <w:formProt w:val="false"/>
      <w:textDirection w:val="lrTb"/>
      <w:docGrid w:type="default" w:linePitch="4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  <w:t>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945"/>
    <w:pPr>
      <w:widowControl/>
      <w:suppressAutoHyphens w:val="true"/>
      <w:bidi w:val="0"/>
      <w:spacing w:lineRule="auto" w:line="240"/>
      <w:jc w:val="left"/>
    </w:pPr>
    <w:rPr>
      <w:rFonts w:ascii="Arial" w:hAnsi="Arial" w:eastAsia="SimSun" w:cs="Mangal"/>
      <w:color w:val="00000A"/>
      <w:sz w:val="20"/>
      <w:szCs w:val="24"/>
      <w:lang w:val="ru-RU" w:eastAsia="hi-IN" w:bidi="hi-IN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paragraph" w:styleId="5">
    <w:name w:val="Заголовок 5"/>
    <w:basedOn w:val="Normal"/>
    <w:pPr>
      <w:keepNext/>
      <w:ind w:left="2832" w:hanging="0"/>
      <w:jc w:val="right"/>
      <w:outlineLvl w:val="4"/>
    </w:pPr>
    <w:rPr>
      <w:rFonts w:ascii="Times New Roman" w:hAnsi="Times New Roman" w:eastAsia="Times New Roman" w:cs="Times New Roman"/>
      <w:sz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762945"/>
    <w:rPr>
      <w:rFonts w:ascii="Times New Roman" w:hAnsi="Times New Roman" w:eastAsia="Times New Roman" w:cs="Times New Roman"/>
      <w:sz w:val="28"/>
      <w:szCs w:val="20"/>
      <w:lang w:eastAsia="hi-IN" w:bidi="hi-IN"/>
    </w:rPr>
  </w:style>
  <w:style w:type="character" w:styleId="Style11">
    <w:name w:val="Выделение"/>
    <w:qFormat/>
    <w:rsid w:val="00cf5876"/>
    <w:rPr>
      <w:i/>
      <w:i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31a7a"/>
    <w:rPr>
      <w:rFonts w:ascii="Tahoma" w:hAnsi="Tahoma" w:eastAsia="SimSun" w:cs="Mangal"/>
      <w:sz w:val="16"/>
      <w:szCs w:val="14"/>
      <w:lang w:eastAsia="hi-IN" w:bidi="hi-IN"/>
    </w:rPr>
  </w:style>
  <w:style w:type="character" w:styleId="ListLabel1" w:customStyle="1">
    <w:name w:val="ListLabel 1"/>
    <w:qFormat/>
    <w:rPr>
      <w:u w:val="single"/>
    </w:rPr>
  </w:style>
  <w:style w:type="character" w:styleId="Blk" w:customStyle="1">
    <w:name w:val="blk"/>
    <w:qFormat/>
    <w:rPr>
      <w:rFonts w:eastAsia="Times New Roman"/>
    </w:rPr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Верхний колонтитул"/>
    <w:basedOn w:val="Normal"/>
    <w:rsid w:val="00762945"/>
    <w:pPr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5f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1a7a"/>
    <w:pPr/>
    <w:rPr>
      <w:rFonts w:ascii="Tahoma" w:hAnsi="Tahoma"/>
      <w:sz w:val="16"/>
      <w:szCs w:val="14"/>
    </w:rPr>
  </w:style>
  <w:style w:type="paragraph" w:styleId="Style21">
    <w:name w:val="Нижний колонтитул"/>
    <w:basedOn w:val="Normal"/>
    <w:pPr/>
    <w:rPr/>
  </w:style>
  <w:style w:type="paragraph" w:styleId="Style22" w:customStyle="1">
    <w:name w:val="Блочная цитата"/>
    <w:basedOn w:val="Normal"/>
    <w:qFormat/>
    <w:pPr/>
    <w:rPr/>
  </w:style>
  <w:style w:type="paragraph" w:styleId="Style23">
    <w:name w:val="Подзаголовок"/>
    <w:basedOn w:val="Style14"/>
    <w:pPr/>
    <w:rPr/>
  </w:style>
  <w:style w:type="paragraph" w:styleId="Style24">
    <w:name w:val="Основной текст с отступом"/>
    <w:basedOn w:val="Normal"/>
    <w:pPr>
      <w:ind w:firstLine="360"/>
    </w:pPr>
    <w:rPr/>
  </w:style>
  <w:style w:type="paragraph" w:styleId="ConsPlusNormal" w:customStyle="1">
    <w:name w:val="ConsPlusNormal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color w:val="00000A"/>
      <w:sz w:val="20"/>
      <w:szCs w:val="24"/>
      <w:lang w:val="ru-RU" w:eastAsia="en-US" w:bidi="ar-SA"/>
    </w:rPr>
  </w:style>
  <w:style w:type="paragraph" w:styleId="ConsPlusNonformat" w:customStyle="1">
    <w:name w:val="ConsPlusNonforma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b/>
      <w:color w:val="00000A"/>
      <w:sz w:val="20"/>
      <w:szCs w:val="24"/>
      <w:lang w:val="ru-RU" w:eastAsia="en-US" w:bidi="ar-SA"/>
    </w:rPr>
  </w:style>
  <w:style w:type="paragraph" w:styleId="ConsPlusCell" w:customStyle="1">
    <w:name w:val="ConsPlusCell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DocList" w:customStyle="1">
    <w:name w:val="ConsPlusDocLis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Page" w:customStyle="1">
    <w:name w:val="ConsPlusTitlePage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0"/>
      <w:szCs w:val="24"/>
      <w:lang w:val="ru-RU" w:eastAsia="en-US" w:bidi="ar-SA"/>
    </w:rPr>
  </w:style>
  <w:style w:type="paragraph" w:styleId="ConsPlusJurTerm" w:customStyle="1">
    <w:name w:val="ConsPlusJurTerm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2"/>
      <w:szCs w:val="24"/>
      <w:lang w:val="ru-RU" w:eastAsia="en-US" w:bidi="ar-SA"/>
    </w:rPr>
  </w:style>
  <w:style w:type="paragraph" w:styleId="1e1e1e1e1e41414141413d3d3d3d3d3e3e3e3e3e32323232323d3d3d3d3d3e3e3e3e3e3939393939424242424235353535353a3a3a3a3a41414141414242424242" w:customStyle="1">
    <w:name w:val="О1e1e1e1e1eс4141414141н3d3d3d3d3dо3e3e3e3e3eв3232323232н3d3d3d3d3dо3e3e3e3e3eй3939393939 т4242424242е3535353535к3a3a3a3a3aс4141414141т4242424242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a1a1a1a1a4040404040303030303041414141413d3d3d3d3d30303030304f4f4f4f4f4141414141424242424240404040403e3e3e3e3e3a3a3a3a3a30303030301" w:customStyle="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qFormat/>
    <w:pPr>
      <w:ind w:firstLine="210"/>
    </w:pPr>
    <w:rPr/>
  </w:style>
  <w:style w:type="paragraph" w:styleId="1e1e1e1e414141413d3d3d3d3e3e3e3e323232323d3d3d3d3e3e3e3e3939393942424242353535353a3a3a3a4141414142424242" w:customStyle="1">
    <w:name w:val="О1e1e1e1eс41414141н3d3d3d3dо3e3e3e3eв32323232н3d3d3d3dо3e3e3e3eй39393939 т42424242е35353535к3a3a3a3aс41414141т42424242"/>
    <w:qFormat/>
    <w:pPr>
      <w:widowControl w:val="false"/>
      <w:bidi w:val="0"/>
      <w:spacing w:lineRule="auto" w:line="276" w:before="0" w:after="12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e413d3e323d3e3942353a4142413e424142433f3e3c" w:customStyle="1">
    <w:name w:val="1e413d3e323d3e39 42353a4142 41 3e424142433f3e3c"/>
    <w:basedOn w:val="1e1e1e1e414141413d3d3d3d3e3e3e3e323232323d3d3d3d3e3e3e3e3939393942424242353535353a3a3a3a4141414142424242"/>
    <w:qFormat/>
    <w:pPr>
      <w:spacing w:before="0" w:after="140"/>
      <w:ind w:firstLine="283"/>
    </w:pPr>
    <w:rPr>
      <w:rFonts w:eastAsia="SimSun;宋体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Liberation Serif" w:hAnsi="Liberation Serif" w:eastAsia="Times New Roman" w:cs="Liberation Serif"/>
      <w:color w:val="000000"/>
      <w:sz w:val="24"/>
      <w:lang w:bidi="ar-SA"/>
    </w:rPr>
  </w:style>
  <w:style w:type="paragraph" w:styleId="Western">
    <w:name w:val="western"/>
    <w:basedOn w:val="Normal"/>
    <w:qFormat/>
    <w:pPr>
      <w:suppressAutoHyphens w:val="false"/>
      <w:spacing w:before="280" w:after="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Application>LibreOffice/5.0.0.5$Windows_x86 LibreOffice_project/1b1a90865e348b492231e1c451437d7a15bb262b</Application>
  <Paragraphs>22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2016-10-24T14:58:00Z</dcterms:created>
  <dc:creator>Панченко</dc:creator>
  <dc:language>ru-RU</dc:language>
  <cp:lastPrinted>2016-02-04T09:11:00Z</cp:lastPrinted>
  <dcterms:modified xsi:type="dcterms:W3CDTF">2017-06-20T10:09:17Z</dcterms:modified>
  <cp:revision>81</cp:revision>
  <dc:title>"Бюджетный кодекс Российской Федерации" от 31.07.1998 N 145-ФЗ(ред. от 03.07.2016)(с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