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 основных итогах контрольного мероприятия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«П</w:t>
      </w:r>
      <w:r>
        <w:rPr>
          <w:rFonts w:eastAsia="Arial" w:cs="Times New Roman" w:ascii="Times New Roman" w:hAnsi="Times New Roman"/>
          <w:b/>
          <w:sz w:val="28"/>
          <w:szCs w:val="28"/>
        </w:rPr>
        <w:t xml:space="preserve">роверка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исполнения Представлений и Предписаний Контрольно-счетной палаты города Фрязино, внесенных объектам контроля по результатам контрольных 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экспертно-аналитических мероприятий 2016 года.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соответствии с пунктом 2.1 плана работы Контрольно-счетной палаты города Фрязино на 201</w:t>
      </w:r>
      <w:r>
        <w:rPr>
          <w:rFonts w:eastAsia="Times New Roman" w:cs="Times New Roman" w:ascii="Times New Roman" w:hAnsi="Times New Roman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год, утвержденного распоряжением председателя  Контрольно-счетной палаты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30.12.2016 № 82, в период с 12 по 30 января 2017 года проведена проверка исполнения Представлений и Предписаний Контрольно-счетной палаты города Фрязино, внесенных объектам контроля по результатам контрольных 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экспертно-аналитических мероприятий 2016 года. </w:t>
      </w:r>
    </w:p>
    <w:p>
      <w:pPr>
        <w:pStyle w:val="Normal"/>
        <w:spacing w:before="0" w:after="11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результате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проведенного </w:t>
      </w:r>
      <w:r>
        <w:rPr>
          <w:rFonts w:eastAsia="Times New Roman" w:cs="Times New Roman" w:ascii="Times New Roman" w:hAnsi="Times New Roman"/>
          <w:sz w:val="28"/>
          <w:szCs w:val="28"/>
        </w:rPr>
        <w:t>контрольного мероприятия установлено: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 w:eastAsia="ru-RU" w:bidi="ar-SA"/>
        </w:rPr>
        <w:t>1. В 2016 году Контрольно-счетной палатой проведено 12 контрольных мероприятий, в том числе: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 закупок, связанных с празднованием Нового 2016 года.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eastAsia="Arial" w:ascii="Times New Roman" w:hAnsi="Times New Roman"/>
          <w:sz w:val="28"/>
          <w:szCs w:val="28"/>
        </w:rPr>
        <w:t>законности и эффективности  использования средств бюджета г. Фрязино на ремонт детской поликлиники в 2015 году.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Аудит исполнения муниципального контракта на строительство Культурно-досугового центра.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Проверка законности и эффективности использования муниципальных вложений в уставной капитал ОАО «Теплосеть».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Проверка законности и эффективности  использования средств бюджета г. Фрязино на обеспечение деятельности МУДО ДЮСШ за 2015-2016 годы.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Проверка законности и эффективности  использования средств бюджета г. Фрязино на обеспечение деятельности МУДО ДЮСШ «Олимп» г. Фрязино за 2015-2016 годы.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Проверка законности и эффективности управления муниципальным имуществом, находящимся в хозяйственном ведении МУП «ГЖУ г. Фрязино» за 2015-2016 годы.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Проверка порядка формирования и утверждения муниципального задания МБУ «Городское хозяйство» г. Фрязино на 2016 год.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Аудит эффективности использования бюджетных средств на создание и развитие муниципального казенного учреждения «Единая дежурно-диспетчерская служба города Фрязино».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Проверка законности и эффективности использования муниципальных вложений в уставной капитал ОАО «ФТЭК».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Аудит эффективности использования средств бюджета города Фрязино при проведении работ по ремонту и содержанию дорог местного значения и внутридворовых территорий города Фрязино за 2015-2016 годы.</w:t>
      </w:r>
    </w:p>
    <w:p>
      <w:pPr>
        <w:pStyle w:val="Normal"/>
        <w:numPr>
          <w:ilvl w:val="0"/>
          <w:numId w:val="1"/>
        </w:numPr>
        <w:snapToGrid w:val="false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Проверка законности и эффективности  использования средств бюджета г. Фрязино на реализацию муниципальной программы «Предпринимательство города Фрязино» на 2015-2019 годы» за 2015 год.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 w:eastAsia="ru-RU" w:bidi="ar-SA"/>
        </w:rPr>
        <w:t xml:space="preserve">Общий объем проверенных средств в ходе контрольных мероприятий 2016 года составил 1 млрд. 86 млн. 754 тыс. руб. </w:t>
      </w:r>
    </w:p>
    <w:p>
      <w:pPr>
        <w:pStyle w:val="Style24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 w:eastAsia="ru-RU" w:bidi="ar-SA"/>
        </w:rPr>
        <w:t xml:space="preserve">В 2016 году  Контрольно-счетной палатой проведено 122 экспертно-аналитических мероприятия.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 w:eastAsia="ru-RU" w:bidi="ar-SA"/>
        </w:rPr>
        <w:t xml:space="preserve">Общий объем проверенных средств составил 1 млрд. 624 млн. 988 тыс. руб.  </w:t>
      </w:r>
    </w:p>
    <w:p>
      <w:pPr>
        <w:pStyle w:val="Style24"/>
        <w:spacing w:lineRule="auto" w:line="240" w:before="0" w:after="0"/>
        <w:ind w:left="0" w:right="0" w:firstLine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контрольных и экспертно-аналитических мероприятий  </w:t>
      </w:r>
      <w:r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>Контрольно-счетной пала</w:t>
        <w:softHyphen/>
        <w:t>той было выявлено нарушений на сумму 426 </w:t>
      </w:r>
      <w:r>
        <w:rPr>
          <w:rFonts w:ascii="Times New Roman" w:hAnsi="Times New Roman"/>
          <w:sz w:val="28"/>
          <w:szCs w:val="28"/>
        </w:rPr>
        <w:t xml:space="preserve">млн. </w:t>
      </w:r>
      <w:r>
        <w:rPr>
          <w:rFonts w:ascii="Times New Roman" w:hAnsi="Times New Roman"/>
          <w:sz w:val="28"/>
          <w:szCs w:val="28"/>
        </w:rPr>
        <w:t xml:space="preserve">453 </w:t>
      </w:r>
      <w:r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 По результатам </w:t>
      </w:r>
      <w:r>
        <w:rPr>
          <w:rFonts w:ascii="Times New Roman" w:hAnsi="Times New Roman"/>
          <w:sz w:val="28"/>
          <w:szCs w:val="28"/>
        </w:rPr>
        <w:t xml:space="preserve">проведенных </w:t>
      </w:r>
      <w:r>
        <w:rPr>
          <w:rFonts w:ascii="Times New Roman" w:hAnsi="Times New Roman"/>
          <w:sz w:val="28"/>
          <w:szCs w:val="28"/>
        </w:rPr>
        <w:t xml:space="preserve">мероприятий Контрольно-счетной палатой было направлено 21 Представление  и 10 Предписаний объектам контроля об устранении 157 нарушений на общую сумму 363 </w:t>
      </w:r>
      <w:r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932  тыс. руб.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ходе </w:t>
      </w:r>
      <w:r>
        <w:rPr>
          <w:rFonts w:cs="Times New Roman" w:ascii="Times New Roman" w:hAnsi="Times New Roman"/>
          <w:sz w:val="28"/>
          <w:szCs w:val="28"/>
        </w:rPr>
        <w:t xml:space="preserve">настоящей </w:t>
      </w:r>
      <w:r>
        <w:rPr>
          <w:rFonts w:cs="Times New Roman" w:ascii="Times New Roman" w:hAnsi="Times New Roman"/>
          <w:sz w:val="28"/>
          <w:szCs w:val="28"/>
        </w:rPr>
        <w:t>проверки установлено, что</w:t>
      </w:r>
      <w:r>
        <w:rPr>
          <w:rFonts w:eastAsia="SimSun;宋体" w:cs="Mangal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SimSun;宋体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з 157 требований и предложений объектами контроля исполнено 107 требований и предложений полностью и 3 частично.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Arial" w:ascii="Times New Roman" w:hAnsi="Times New Roman"/>
          <w:sz w:val="28"/>
          <w:szCs w:val="28"/>
        </w:rPr>
        <w:t xml:space="preserve">Общая сумма устраненных нарушений составила 221 </w:t>
      </w:r>
      <w:r>
        <w:rPr>
          <w:rFonts w:eastAsia="Arial" w:ascii="Times New Roman" w:hAnsi="Times New Roman"/>
          <w:sz w:val="28"/>
          <w:szCs w:val="28"/>
        </w:rPr>
        <w:t>млн.</w:t>
      </w:r>
      <w:r>
        <w:rPr>
          <w:rFonts w:eastAsia="Arial" w:ascii="Times New Roman" w:hAnsi="Times New Roman"/>
          <w:sz w:val="28"/>
          <w:szCs w:val="28"/>
        </w:rPr>
        <w:t xml:space="preserve"> 775 тыс. руб. (60,9% от суммы, рекомендованной к устранению).</w:t>
      </w:r>
    </w:p>
    <w:p>
      <w:pPr>
        <w:pStyle w:val="Normal"/>
        <w:tabs>
          <w:tab w:val="left" w:pos="0" w:leader="none"/>
        </w:tabs>
        <w:autoSpaceDE w:val="false"/>
        <w:snapToGrid w:val="false"/>
        <w:spacing w:lineRule="atLeast" w:line="200" w:before="0" w:after="11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hi-IN" w:bidi="hi-IN"/>
        </w:rPr>
        <w:t xml:space="preserve">Не устранено нарушений на общую сумму 142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hi-IN" w:bidi="hi-IN"/>
        </w:rPr>
        <w:t xml:space="preserve">млн.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hi-IN" w:bidi="hi-IN"/>
        </w:rPr>
        <w:t>15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hi-IN" w:bidi="hi-IN"/>
        </w:rPr>
        <w:t xml:space="preserve">7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hi-IN" w:bidi="hi-IN"/>
        </w:rPr>
        <w:t>тыс. руб., остающихся на контроле Контрольно-счетной палаты на 2017 год.</w:t>
      </w:r>
    </w:p>
    <w:p>
      <w:pPr>
        <w:pStyle w:val="Normal"/>
        <w:tabs>
          <w:tab w:val="left" w:pos="0" w:leader="none"/>
        </w:tabs>
        <w:autoSpaceDE w:val="false"/>
        <w:snapToGrid w:val="false"/>
        <w:spacing w:lineRule="atLeast" w:line="2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Главе города направлено Представление об установлении контроля за устранением нарушений, </w:t>
      </w:r>
      <w:r>
        <w:rPr>
          <w:rFonts w:eastAsia="Arial" w:ascii="Times New Roman" w:hAnsi="Times New Roman"/>
          <w:sz w:val="28"/>
          <w:szCs w:val="28"/>
        </w:rPr>
        <w:t>выя</w:t>
      </w:r>
      <w:r>
        <w:rPr>
          <w:rFonts w:eastAsia="Arial" w:ascii="Times New Roman" w:hAnsi="Times New Roman"/>
          <w:sz w:val="28"/>
          <w:szCs w:val="28"/>
        </w:rPr>
        <w:t xml:space="preserve">вленных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Контрольно-счетной палаты города Фрязино в</w:t>
      </w:r>
      <w:r>
        <w:rPr>
          <w:rFonts w:eastAsia="Arial" w:ascii="Times New Roman" w:hAnsi="Times New Roman"/>
          <w:sz w:val="28"/>
          <w:szCs w:val="28"/>
        </w:rPr>
        <w:t xml:space="preserve"> 2016 год</w:t>
      </w:r>
      <w:r>
        <w:rPr>
          <w:rFonts w:eastAsia="Arial" w:ascii="Times New Roman" w:hAnsi="Times New Roman"/>
          <w:sz w:val="28"/>
          <w:szCs w:val="28"/>
        </w:rPr>
        <w:t>у</w:t>
      </w:r>
      <w:r>
        <w:rPr>
          <w:rFonts w:eastAsia="Arial" w:ascii="Times New Roman" w:hAnsi="Times New Roman"/>
          <w:sz w:val="28"/>
          <w:szCs w:val="28"/>
        </w:rPr>
        <w:t xml:space="preserve"> и остающихся на контроле на 2017 год.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                                    Л.А. Панченко</w:t>
      </w:r>
    </w:p>
    <w:tbl>
      <w:tblPr>
        <w:tblW w:w="1095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51"/>
        <w:gridCol w:w="23"/>
        <w:gridCol w:w="2027"/>
        <w:gridCol w:w="879"/>
        <w:gridCol w:w="3884"/>
        <w:gridCol w:w="1594"/>
      </w:tblGrid>
      <w:tr>
        <w:trPr>
          <w:trHeight w:val="272" w:hRule="atLeast"/>
          <w:cantSplit w:val="true"/>
        </w:trPr>
        <w:tc>
          <w:tcPr>
            <w:tcW w:w="460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6357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5480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47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460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1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57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113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5480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113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7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90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4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25" w:right="581" w:header="142" w:top="709" w:footer="720" w:bottom="777" w:gutter="0"/>
      <w:pgNumType w:fmt="decimal"/>
      <w:formProt w:val="false"/>
      <w:textDirection w:val="lrTb"/>
      <w:docGrid w:type="default" w:linePitch="4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n-US"/>
      </w:rPr>
    </w:pPr>
    <w:r>
      <w:rPr>
        <w:lang w:val="en-US"/>
      </w:rPr>
      <w:t>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4819" w:leader="none"/>
        <w:tab w:val="right" w:pos="9638" w:leader="none"/>
      </w:tabs>
      <w:spacing w:lineRule="auto" w:line="360" w:before="0" w:after="1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34"/>
        <w:rFonts w:ascii="Times New Roman" w:hAnsi="Times New Roman" w:eastAsia="Arial" w:cs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sz w:val="28"/>
        <w:szCs w:val="34"/>
        <w:rFonts w:ascii="Times New Roman" w:hAnsi="Times New Roman" w:eastAsia="Arial" w:cs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sz w:val="28"/>
        <w:szCs w:val="34"/>
        <w:rFonts w:ascii="Times New Roman" w:hAnsi="Times New Roman" w:eastAsia="Arial" w:cs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sz w:val="28"/>
        <w:szCs w:val="34"/>
        <w:rFonts w:ascii="Times New Roman" w:hAnsi="Times New Roman" w:eastAsia="Arial"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sz w:val="28"/>
        <w:szCs w:val="34"/>
        <w:rFonts w:ascii="Times New Roman" w:hAnsi="Times New Roman" w:eastAsia="Arial"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sz w:val="28"/>
        <w:szCs w:val="34"/>
        <w:rFonts w:ascii="Times New Roman" w:hAnsi="Times New Roman" w:eastAsia="Arial"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sz w:val="28"/>
        <w:szCs w:val="34"/>
        <w:rFonts w:ascii="Times New Roman" w:hAnsi="Times New Roman" w:eastAsia="Arial"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sz w:val="28"/>
        <w:szCs w:val="34"/>
        <w:rFonts w:ascii="Times New Roman" w:hAnsi="Times New Roman" w:eastAsia="Arial"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sz w:val="28"/>
        <w:szCs w:val="34"/>
        <w:rFonts w:ascii="Times New Roman" w:hAnsi="Times New Roman" w:eastAsia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945"/>
    <w:pPr>
      <w:widowControl/>
      <w:suppressAutoHyphens w:val="true"/>
      <w:bidi w:val="0"/>
      <w:spacing w:lineRule="auto" w:line="240"/>
      <w:jc w:val="left"/>
    </w:pPr>
    <w:rPr>
      <w:rFonts w:ascii="Arial" w:hAnsi="Arial" w:eastAsia="SimSun" w:cs="Mangal"/>
      <w:color w:val="00000A"/>
      <w:sz w:val="20"/>
      <w:szCs w:val="24"/>
      <w:lang w:val="ru-RU" w:eastAsia="hi-IN" w:bidi="hi-IN"/>
    </w:rPr>
  </w:style>
  <w:style w:type="paragraph" w:styleId="1">
    <w:name w:val="Заголовок 1"/>
    <w:basedOn w:val="Style14"/>
    <w:pPr>
      <w:outlineLvl w:val="0"/>
    </w:pPr>
    <w:rPr/>
  </w:style>
  <w:style w:type="paragraph" w:styleId="2">
    <w:name w:val="Заголовок 2"/>
    <w:basedOn w:val="Style14"/>
    <w:pPr>
      <w:outlineLvl w:val="1"/>
    </w:pPr>
    <w:rPr/>
  </w:style>
  <w:style w:type="paragraph" w:styleId="3">
    <w:name w:val="Заголовок 3"/>
    <w:basedOn w:val="Style14"/>
    <w:pPr>
      <w:outlineLvl w:val="2"/>
    </w:pPr>
    <w:rPr/>
  </w:style>
  <w:style w:type="paragraph" w:styleId="5">
    <w:name w:val="Заголовок 5"/>
    <w:basedOn w:val="Normal"/>
    <w:pPr>
      <w:keepNext/>
      <w:ind w:left="2832" w:hanging="0"/>
      <w:jc w:val="right"/>
      <w:outlineLvl w:val="4"/>
    </w:pPr>
    <w:rPr>
      <w:rFonts w:ascii="Times New Roman" w:hAnsi="Times New Roman" w:eastAsia="Times New Roman" w:cs="Times New Roman"/>
      <w:sz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qFormat/>
    <w:rsid w:val="00762945"/>
    <w:rPr>
      <w:rFonts w:ascii="Times New Roman" w:hAnsi="Times New Roman" w:eastAsia="Times New Roman" w:cs="Times New Roman"/>
      <w:sz w:val="28"/>
      <w:szCs w:val="20"/>
      <w:lang w:eastAsia="hi-IN" w:bidi="hi-IN"/>
    </w:rPr>
  </w:style>
  <w:style w:type="character" w:styleId="Style11">
    <w:name w:val="Выделение"/>
    <w:qFormat/>
    <w:rsid w:val="00cf5876"/>
    <w:rPr>
      <w:i/>
      <w:iCs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331a7a"/>
    <w:rPr>
      <w:rFonts w:ascii="Tahoma" w:hAnsi="Tahoma" w:eastAsia="SimSun" w:cs="Mangal"/>
      <w:sz w:val="16"/>
      <w:szCs w:val="14"/>
      <w:lang w:eastAsia="hi-IN" w:bidi="hi-IN"/>
    </w:rPr>
  </w:style>
  <w:style w:type="character" w:styleId="ListLabel1" w:customStyle="1">
    <w:name w:val="ListLabel 1"/>
    <w:qFormat/>
    <w:rPr>
      <w:u w:val="single"/>
    </w:rPr>
  </w:style>
  <w:style w:type="character" w:styleId="Blk" w:customStyle="1">
    <w:name w:val="blk"/>
    <w:qFormat/>
    <w:rPr>
      <w:rFonts w:eastAsia="Times New Roman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WW8Num3z0">
    <w:name w:val="WW8Num3z0"/>
    <w:qFormat/>
    <w:rPr>
      <w:rFonts w:ascii="Times New Roman" w:hAnsi="Times New Roman" w:eastAsia="Arial" w:cs="Times New Roman"/>
      <w:sz w:val="28"/>
      <w:szCs w:val="34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Верхний колонтитул"/>
    <w:basedOn w:val="Normal"/>
    <w:rsid w:val="00762945"/>
    <w:pPr>
      <w:suppressLineNumbers/>
      <w:tabs>
        <w:tab w:val="center" w:pos="4819" w:leader="none"/>
        <w:tab w:val="right" w:pos="9638" w:leader="none"/>
      </w:tabs>
      <w:spacing w:lineRule="auto" w:line="360" w:before="0" w:after="12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35f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31a7a"/>
    <w:pPr/>
    <w:rPr>
      <w:rFonts w:ascii="Tahoma" w:hAnsi="Tahoma"/>
      <w:sz w:val="16"/>
      <w:szCs w:val="14"/>
    </w:rPr>
  </w:style>
  <w:style w:type="paragraph" w:styleId="Style21">
    <w:name w:val="Нижний колонтитул"/>
    <w:basedOn w:val="Normal"/>
    <w:pPr/>
    <w:rPr/>
  </w:style>
  <w:style w:type="paragraph" w:styleId="Style22" w:customStyle="1">
    <w:name w:val="Блочная цитата"/>
    <w:basedOn w:val="Normal"/>
    <w:qFormat/>
    <w:pPr/>
    <w:rPr/>
  </w:style>
  <w:style w:type="paragraph" w:styleId="Style23">
    <w:name w:val="Подзаголовок"/>
    <w:basedOn w:val="Style14"/>
    <w:pPr/>
    <w:rPr/>
  </w:style>
  <w:style w:type="paragraph" w:styleId="Style24">
    <w:name w:val="Основной текст с отступом"/>
    <w:basedOn w:val="Normal"/>
    <w:pPr>
      <w:ind w:firstLine="360"/>
    </w:pPr>
    <w:rPr/>
  </w:style>
  <w:style w:type="paragraph" w:styleId="ConsPlusNormal" w:customStyle="1">
    <w:name w:val="ConsPlusNormal"/>
    <w:qFormat/>
    <w:pPr>
      <w:widowControl/>
      <w:bidi w:val="0"/>
      <w:spacing w:lineRule="auto" w:line="276"/>
      <w:jc w:val="left"/>
    </w:pPr>
    <w:rPr>
      <w:rFonts w:ascii="Arial" w:hAnsi="Arial" w:eastAsia="Arial" w:cs="Courier New"/>
      <w:color w:val="00000A"/>
      <w:sz w:val="20"/>
      <w:szCs w:val="24"/>
      <w:lang w:val="ru-RU" w:eastAsia="en-US" w:bidi="ar-SA"/>
    </w:rPr>
  </w:style>
  <w:style w:type="paragraph" w:styleId="ConsPlusNonformat" w:customStyle="1">
    <w:name w:val="ConsPlusNonformat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Title" w:customStyle="1">
    <w:name w:val="ConsPlusTitle"/>
    <w:qFormat/>
    <w:pPr>
      <w:widowControl/>
      <w:bidi w:val="0"/>
      <w:spacing w:lineRule="auto" w:line="276"/>
      <w:jc w:val="left"/>
    </w:pPr>
    <w:rPr>
      <w:rFonts w:ascii="Arial" w:hAnsi="Arial" w:eastAsia="Arial" w:cs="Courier New"/>
      <w:b/>
      <w:color w:val="00000A"/>
      <w:sz w:val="20"/>
      <w:szCs w:val="24"/>
      <w:lang w:val="ru-RU" w:eastAsia="en-US" w:bidi="ar-SA"/>
    </w:rPr>
  </w:style>
  <w:style w:type="paragraph" w:styleId="ConsPlusCell" w:customStyle="1">
    <w:name w:val="ConsPlusCell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DocList" w:customStyle="1">
    <w:name w:val="ConsPlusDocList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TitlePage" w:customStyle="1">
    <w:name w:val="ConsPlusTitlePage"/>
    <w:qFormat/>
    <w:pPr>
      <w:widowControl/>
      <w:bidi w:val="0"/>
      <w:spacing w:lineRule="auto" w:line="276"/>
      <w:jc w:val="left"/>
    </w:pPr>
    <w:rPr>
      <w:rFonts w:ascii="Tahoma" w:hAnsi="Tahoma" w:eastAsia="Arial" w:cs="Courier New"/>
      <w:color w:val="00000A"/>
      <w:sz w:val="20"/>
      <w:szCs w:val="24"/>
      <w:lang w:val="ru-RU" w:eastAsia="en-US" w:bidi="ar-SA"/>
    </w:rPr>
  </w:style>
  <w:style w:type="paragraph" w:styleId="ConsPlusJurTerm" w:customStyle="1">
    <w:name w:val="ConsPlusJurTerm"/>
    <w:qFormat/>
    <w:pPr>
      <w:widowControl/>
      <w:bidi w:val="0"/>
      <w:spacing w:lineRule="auto" w:line="276"/>
      <w:jc w:val="left"/>
    </w:pPr>
    <w:rPr>
      <w:rFonts w:ascii="Tahoma" w:hAnsi="Tahoma" w:eastAsia="Arial" w:cs="Courier New"/>
      <w:color w:val="00000A"/>
      <w:sz w:val="22"/>
      <w:szCs w:val="24"/>
      <w:lang w:val="ru-RU" w:eastAsia="en-US" w:bidi="ar-SA"/>
    </w:rPr>
  </w:style>
  <w:style w:type="paragraph" w:styleId="1e1e1e1e1e41414141413d3d3d3d3d3e3e3e3e3e32323232323d3d3d3d3d3e3e3e3e3e3939393939424242424235353535353a3a3a3a3a41414141414242424242" w:customStyle="1">
    <w:name w:val="О1e1e1e1e1eс4141414141н3d3d3d3d3dо3e3e3e3e3eв3232323232н3d3d3d3d3dо3e3e3e3e3eй3939393939 т4242424242е3535353535к3a3a3a3a3aс4141414141т4242424242"/>
    <w:qFormat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ru-RU" w:eastAsia="zh-CN" w:bidi="hi-IN"/>
    </w:rPr>
  </w:style>
  <w:style w:type="paragraph" w:styleId="1a1a1a1a1a4040404040303030303041414141413d3d3d3d3d30303030304f4f4f4f4f4141414141424242424240404040403e3e3e3e3e3a3a3a3a3a30303030301" w:customStyle="1">
    <w:name w:val="К1a1a1a1a1aр4040404040а3030303030с4141414141н3d3d3d3d3dа3030303030я4f4f4f4f4f с4141414141т4242424242р4040404040о3e3e3e3e3eк3a3a3a3a3aа30303030301"/>
    <w:basedOn w:val="1e1e1e1e1e41414141413d3d3d3d3d3e3e3e3e3e32323232323d3d3d3d3d3e3e3e3e3e3939393939424242424235353535353a3a3a3a3a41414141414242424242"/>
    <w:qFormat/>
    <w:pPr>
      <w:ind w:firstLine="210"/>
    </w:pPr>
    <w:rPr/>
  </w:style>
  <w:style w:type="paragraph" w:styleId="1e1e1e1e414141413d3d3d3d3e3e3e3e323232323d3d3d3d3e3e3e3e3939393942424242353535353a3a3a3a4141414142424242" w:customStyle="1">
    <w:name w:val="О1e1e1e1eс41414141н3d3d3d3dо3e3e3e3eв32323232н3d3d3d3dо3e3e3e3eй39393939 т42424242е35353535к3a3a3a3aс41414141т42424242"/>
    <w:qFormat/>
    <w:pPr>
      <w:widowControl w:val="false"/>
      <w:bidi w:val="0"/>
      <w:spacing w:lineRule="auto" w:line="276" w:before="0" w:after="12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ru-RU" w:eastAsia="zh-CN" w:bidi="hi-IN"/>
    </w:rPr>
  </w:style>
  <w:style w:type="paragraph" w:styleId="1e413d3e323d3e3942353a4142413e424142433f3e3c" w:customStyle="1">
    <w:name w:val="1e413d3e323d3e39 42353a4142 41 3e424142433f3e3c"/>
    <w:basedOn w:val="1e1e1e1e414141413d3d3d3d3e3e3e3e323232323d3d3d3d3e3e3e3e3939393942424242353535353a3a3a3a4141414142424242"/>
    <w:qFormat/>
    <w:pPr>
      <w:spacing w:before="0" w:after="140"/>
      <w:ind w:firstLine="283"/>
    </w:pPr>
    <w:rPr>
      <w:rFonts w:eastAsia="SimSun;宋体"/>
    </w:rPr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Liberation Serif" w:hAnsi="Liberation Serif" w:eastAsia="Times New Roman" w:cs="Liberation Serif"/>
      <w:color w:val="000000"/>
      <w:sz w:val="24"/>
      <w:lang w:bidi="ar-SA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Application>LibreOffice/5.0.0.5$Windows_x86 LibreOffice_project/1b1a90865e348b492231e1c451437d7a15bb262b</Application>
  <Paragraphs>26</Paragraphs>
  <Company>КонсультантПлюс Версия 4016.00.12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2016-10-24T14:58:00Z</dcterms:created>
  <dc:creator>Панченко</dc:creator>
  <dc:language>ru-RU</dc:language>
  <cp:lastPrinted>2016-02-04T09:11:00Z</cp:lastPrinted>
  <dcterms:modified xsi:type="dcterms:W3CDTF">2017-02-09T12:01:28Z</dcterms:modified>
  <cp:revision>77</cp:revision>
  <dc:title>"Бюджетный кодекс Российской Федерации" от 31.07.1998 N 145-ФЗ(ред. от 03.07.2016)(с изм. и доп., вступ. в силу с 01.09.2016)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