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нешняя проверка бюджетной отчетности главного администратора бюджетных средств — Контрольно-счетной палаты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>городского округа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2.7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>в период с 14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 23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Контрольно-счетной палаты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28.03.2025 № 11.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1.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соответствии со статьей 30 Устава г.о Фрязино, п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ринятого решением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Совета депутатов от 01.03.2000 № 19 (с изм.), Контрольно-счетная палата городского округа Фрязино (далее — Контрольно-счетная палата)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8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я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вляется постоянно действующим органом внешнего муниципального финансового контроля, обладает правами юридического лица.</w:t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Ведение бухгалтерского учета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Контрольно-счетная палаты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8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передано МКУ города Фрязино «Центр бюджетного сопровождения» (далее — МКУ ЦБС) на  основании Соглашения № 3 от 15.12.2016.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Основанием для проведения внешней проверки годовой бюджетной  отчетности главного администратора бюджетных средств — Контрольно- счетной палаты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является статья 264.4 Бюджетного Кодекса Российской Федерации, статьи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15 Положения «О бюджетном процессе в городском округе Фрязино Московской области», утвержденного решением Совета депутатов города Фрязино от 15.02.2021 № 45/12, статьи 9, 11 Положения «О Контрольно-счетной палате городского округа Фрязино», утвержденного решением Совета депутатов городского округа Фрязино от 15.10.2021 № 105/24 (с изм).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2.  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Приказом Министерства финансов РФ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от 23.12.2010 №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(далее — Инструкция № 191н).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В нарушение пунктов 11.1 и 152 Инструкции № 191н   к настоящей проверке не представлены формы: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Справка о суммах консолидируемых поступлений, подлежащих зачислению на счет бюджета (ф. 0503184);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57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Сведения об исполнении мероприятий в рамках целевых программ (ф. 0503166).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Отсутствие данных формы не отражено в Пояснительной записке (ф. 0503160).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Кроме того, в нарушение пункта 152 Инструкции № 191н   к проверке представлена форма Сведения о количестве подведомственных участников бюджетного процесса, учреждений и государственных (муниципальных) унитарных предприятий (ф. 0503161), исключенная из представляемых форм Приказом Минфина России от 31.01.2020 N 13н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                                               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19"/>
    <w:next w:val="Style20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7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FollowedHyperlink"/>
    <w:rPr>
      <w:color w:val="800080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4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4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7"/>
    <w:qFormat/>
    <w:pPr/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2">
    <w:name w:val="Объект со стрелко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3">
    <w:name w:val="Объект с тенью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без заливки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 и лини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Выравнивание текста по ширине"/>
    <w:basedOn w:val="Style31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1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1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Размерная линия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8">
    <w:name w:val="Объекты фон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1">
    <w:name w:val="Body Text Indent"/>
    <w:basedOn w:val="Normal"/>
    <w:pPr>
      <w:ind w:left="-360" w:right="0" w:hanging="0"/>
    </w:pPr>
    <w:rPr/>
  </w:style>
  <w:style w:type="paragraph" w:styleId="Style42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4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3">
    <w:name w:val="Текст выноски"/>
    <w:basedOn w:val="Normal"/>
    <w:next w:val="Style30"/>
    <w:qFormat/>
    <w:pPr/>
    <w:rPr>
      <w:rFonts w:ascii="Tahoma" w:hAnsi="Tahoma" w:cs="Tahoma"/>
      <w:sz w:val="16"/>
      <w:szCs w:val="16"/>
    </w:rPr>
  </w:style>
  <w:style w:type="paragraph" w:styleId="Style44">
    <w:name w:val="Верхний колонтитул слева"/>
    <w:basedOn w:val="Style43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29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10543</TotalTime>
  <Application>LibreOffice/7.5.7.1$Windows_X86_64 LibreOffice_project/47eb0cf7efbacdee9b19ae25d6752381ede23126</Application>
  <AppVersion>15.0000</AppVersion>
  <Pages>2</Pages>
  <Words>406</Words>
  <Characters>2928</Characters>
  <CharactersWithSpaces>3534</CharactersWithSpaces>
  <Paragraphs>18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2025-05-12T10:13:07Z</dcterms:modified>
  <cp:revision>461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