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результатах контрольного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нешняя проверка бюджетной отчетности главного администратора бюджетных средств — Управления образования администрации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 городского округа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20"/>
        </w:tabs>
        <w:snapToGrid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унктом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8"/>
          <w:kern w:val="2"/>
          <w:sz w:val="28"/>
          <w:szCs w:val="28"/>
          <w:lang w:val="ru-RU" w:eastAsia="hi-IN" w:bidi="hi-IN"/>
        </w:rPr>
        <w:t xml:space="preserve"> 2.4 Плана работы Контрольно-счетной палаты городского округа Фрязино, утвержденного распоряжением предсе</w:t>
        <w:softHyphen/>
        <w:t>дателя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 Контрольно-счетной палаты от  20.12.2024  № 60, </w:t>
      </w:r>
      <w:r>
        <w:rPr>
          <w:rFonts w:cs="Times New Roman" w:ascii="Times New Roman" w:hAnsi="Times New Roman"/>
          <w:sz w:val="28"/>
          <w:szCs w:val="28"/>
        </w:rPr>
        <w:t>в период с 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 по 25</w:t>
      </w:r>
      <w:r>
        <w:rPr>
          <w:rFonts w:cs="Times New Roman" w:ascii="Times New Roman" w:hAnsi="Times New Roman"/>
          <w:sz w:val="28"/>
          <w:szCs w:val="28"/>
        </w:rPr>
        <w:t xml:space="preserve"> апреля 2025 года Контрольно-счетной палатой проведено контрольное мероприятие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нешняя проверка бюджетной отчетности главного администратора бюджетных средств — Управления образования администрации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 городского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 (далее — контрольное ме</w:t>
        <w:softHyphen/>
        <w:t>роприятие).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Контрольное мероприятие проводилось согласно программе, утвержденной распоряжением председателя Контрольно-счетной палаты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от  28.03.2025 № 12.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  <w:tab/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position w:val="0"/>
          <w:sz w:val="25"/>
          <w:sz w:val="28"/>
          <w:szCs w:val="28"/>
          <w:shd w:fill="auto" w:val="clear"/>
          <w:vertAlign w:val="baseline"/>
          <w:em w:val="none"/>
          <w:lang w:eastAsia="ru-RU" w:bidi="hi-IN"/>
        </w:rPr>
        <w:t xml:space="preserve"> 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/>
      </w:pP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 xml:space="preserve">       </w:t>
      </w: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>В результате контрольного мероприятия установлено: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r>
    </w:p>
    <w:p>
      <w:pPr>
        <w:pStyle w:val="Style41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1.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Управление образования является отраслевым органом администрации городского округа Фрязино (далее - Администрация), осуществляющим управление в сфере образования городского округа Фрязино</w:t>
      </w:r>
      <w:r>
        <w:rPr>
          <w:rStyle w:val="Style15"/>
          <w:rFonts w:eastAsia="TimesNewRomanPSMT;MS Mincho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.</w:t>
      </w:r>
    </w:p>
    <w:p>
      <w:pPr>
        <w:pStyle w:val="Normal"/>
        <w:snapToGrid w:val="false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5"/>
          <w:rFonts w:eastAsia="TimesNewRomanPSMT;MS Mincho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Управление образование является администратором доходов и главным распорядителем бюджетных средств для подведомственных учреждений.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Ведение бухгалтерского, бюджетного, налогового и статистического учета и отчетности Управления образования и подведомственных ему учреждений осуществлял </w:t>
      </w:r>
      <w:r>
        <w:rPr>
          <w:rStyle w:val="Style14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МКУ города Фрязино «Центр бюджетного сопровождения» (далее - МКУ ЦБС)</w:t>
      </w: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на основании Соглашений.</w:t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Основанием для проведения внешней проверки годовой бюджетной  отчетности главного администратора бюджетных средств — Контрольно- счетной палаты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является статья 264.4 Бюджетного Кодекса Российской Федерации, статьи 9,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15 Положения «О бюджетном процессе в городском округе Фрязино Московской области», утвержденного решением Совета депутатов города Фрязино от 15.02.2021 № 45/12, статьи 9, 11 Положения «О Контрольно-счетной палате городского округа Фрязино», утвержденного решением Совета депутатов городского округа Фрязино от 15.10.2021 № 105/24 (с изм).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2.  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Приказом Министерства финансов РФ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от 23.12.2010 № 191н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(далее — Инструкция № 191н).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В нарушение пунктов 11.1 и 152 Инструкции № 191н   к настоящей проверке не представлены формы: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Справка о суммах консолидируемых поступлений, подлежащих зачислению на счет бюджета (ф. 0503184);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57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Сведения об исполнении мероприятий в рамках целевых программ (ф. 0503166).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  </w:t>
      </w: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Отсутствие данных формы не отражено в Пояснительной записке (ф. 0503160). 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 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Кроме того, в нарушение пункта 152 Инструкции № 191н   к проверке представлена форма Сведения о количестве подведомственных участников бюджетного процесса, учреждений и государственных (муниципальных) унитарных предприятий (ф. 0503161), исключенная из представляемых форм Приказом Минфина России от 31.01.2020 N 13н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 xml:space="preserve"> 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В нарушение пункта 155 Инструкции № 191н к проверке  не представлены Таблица № 3 «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Сведения об исполнении текстовых статей закона (решения) о бюджете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» Пояснительной записки. В текстовой части пояснительной записки отражены не все показатели данной таблицы.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 xml:space="preserve">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В нарушение пункта 159.6 Инструкции № 191н к проверке  не представлены Таблица № 13 «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Анализ отчета об исполнении бюджета субъектом бюджетной отчетности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» Пояснительной записки.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C9211E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нарушение пункта 159.7 Инструкции № 191н к проверке  не представлены Таблица № 14 «Анализ показателей отчетности субъекта бюджетной отчетности» Пояснительной записки.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3. </w:t>
      </w:r>
      <w:r>
        <w:rPr>
          <w:rStyle w:val="Style13"/>
          <w:rFonts w:eastAsia="Arial"/>
          <w:bCs/>
          <w:iCs/>
          <w:outline w:val="false"/>
          <w:shadow w:val="false"/>
          <w:color w:val="000000"/>
          <w:kern w:val="2"/>
          <w:position w:val="0"/>
          <w:sz w:val="25"/>
          <w:sz w:val="28"/>
          <w:szCs w:val="28"/>
          <w:highlight w:val="white"/>
          <w:shd w:fill="auto" w:val="clear"/>
          <w:vertAlign w:val="baseline"/>
          <w:em w:val="none"/>
          <w:lang w:val="ru-RU" w:eastAsia="ru-RU" w:bidi="hi-IN"/>
        </w:rPr>
        <w:t>Бюджетная отчетность Управления образования по подведомственным учреждениям соответствует требованиям  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>
      <w:pPr>
        <w:pStyle w:val="Normal"/>
        <w:spacing w:lineRule="auto" w:line="240"/>
        <w:ind w:left="0" w:right="0" w:firstLine="540"/>
        <w:jc w:val="both"/>
        <w:rPr/>
      </w:pPr>
      <w:r>
        <w:rPr>
          <w:rStyle w:val="Style13"/>
          <w:rFonts w:eastAsia="Arial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При проверке формы «Сведения по дебиторской и кредиторской задолженности учреждения» (дебиторская) (ф. 0503769) установлено, что в отчетности учреждений не отражены начисления по представлениям Контрольно-счетной палаты по счету 20900000 «</w:t>
      </w: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Расчеты по ущербу и иным доходам», а именно: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10.09.2019 № 01-20/17 МБОО СОШ № 3 (МДОУ №3) не отражена дебиторская задолженность на 01.01.2024 в сумме 586 049,36 руб. и на 01.01.2025 — 267 049,36 руб.;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28.04.2022 № 01-13/10 МБОО СОШ № 3  не отражена дебиторская задолженность на 01.01.2024 в сумме 694 573,10 руб. и на 01.01.2025 — 694 573,10 руб.;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26.04.2022 № 01-13/09 МБОО СОШ № 5  не отражена дебиторская задолженность на 01.01.2024 в сумме 233 885,56 руб. и на 01.01.2025 — 114 436,55 руб.;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28.04.2022 № 01-13/11 МБОО «Гимназия»  не отражена дебиторская задолженность на 01.01.2024 в сумме 453 976,72 руб. и на 01.01.2025 — 453 976,72 руб.;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spacing w:lineRule="auto" w:line="240" w:before="0" w:after="0"/>
        <w:ind w:left="-15" w:right="0" w:hanging="45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   </w:t>
      </w: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05.03.2024 № 01-13/04 МБОО «Лицей»  не отражена дебиторская задолженность на 01.01.2024 в сумме 0 руб. и на 01.01.2025 — 308 149,75 руб.;</w:t>
      </w:r>
    </w:p>
    <w:p>
      <w:pPr>
        <w:pStyle w:val="Normal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16.06.2021 № 01-20/12 МУ ДО «ЦДТ»  не отражена дебиторская задолженность на 01.01.2024 в сумме 19 793,11 руб. и на 01.01.2025 — 4 995,49 руб.</w:t>
      </w:r>
    </w:p>
    <w:p>
      <w:pPr>
        <w:pStyle w:val="Normal"/>
        <w:ind w:left="0" w:right="0" w:firstLine="540"/>
        <w:jc w:val="both"/>
        <w:rPr/>
      </w:pPr>
      <w:r>
        <w:rPr>
          <w:rStyle w:val="Style13"/>
          <w:rFonts w:eastAsia="Arial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 xml:space="preserve">Таким образом,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по состоянию на 01.01.2024 занижен показатель по </w:t>
      </w:r>
      <w:r>
        <w:rPr>
          <w:rStyle w:val="Style13"/>
          <w:rFonts w:eastAsia="Arial"/>
          <w:bCs/>
          <w:iCs/>
          <w:outline w:val="false"/>
          <w:shadow w:val="false"/>
          <w:color w:val="000000"/>
          <w:sz w:val="28"/>
          <w:szCs w:val="28"/>
          <w:highlight w:val="white"/>
          <w:shd w:fill="auto" w:val="clear"/>
          <w:em w:val="none"/>
          <w:lang w:eastAsia="ru-RU"/>
        </w:rPr>
        <w:t>счету 20900000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 (ф. 0503769) и показатель графы 4 строки 250 Баланса (ф. 0503730)  на сумму 1 988 277,85 руб.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и на 01.01.2025 занижен показатель по </w:t>
      </w:r>
      <w:r>
        <w:rPr>
          <w:rStyle w:val="Style13"/>
          <w:rFonts w:eastAsia="Arial"/>
          <w:bCs/>
          <w:iCs/>
          <w:outline w:val="false"/>
          <w:shadow w:val="false"/>
          <w:color w:val="000000"/>
          <w:sz w:val="28"/>
          <w:szCs w:val="28"/>
          <w:highlight w:val="white"/>
          <w:shd w:fill="auto" w:val="clear"/>
          <w:em w:val="none"/>
          <w:lang w:eastAsia="ru-RU"/>
        </w:rPr>
        <w:t>счету 20900000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 (ф. 0503769) и показатель графы 8 строки 250 Баланса (ф. 0503730)  на сумму 1 843 180,97 руб.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spacing w:lineRule="auto" w:line="240" w:before="0" w:after="57"/>
        <w:ind w:left="-15" w:right="0" w:hanging="45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   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Данные нарушения обусловлены не предоставлением (предоставлением не в полном объеме) в МКУ ЦБС учреждениями </w:t>
      </w: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z w:val="28"/>
          <w:szCs w:val="28"/>
          <w:highlight w:val="white"/>
          <w:shd w:fill="auto" w:val="clear"/>
          <w:em w:val="none"/>
          <w:lang w:eastAsia="ru-RU"/>
        </w:rPr>
        <w:t>первичных документов (приказов) об удержании денежных средств из заработной платы сотрудников либо о возмещении средств в бюджет городского округа за счет остатков средств на счетах учреждений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shd w:fill="auto" w:val="clear"/>
          <w:em w:val="none"/>
          <w:lang w:eastAsia="ru-RU"/>
        </w:rPr>
        <w:t>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/>
      </w:pPr>
      <w:r>
        <w:rPr>
          <w:rFonts w:eastAsia="Times New Roman"/>
          <w:spacing w:val="8"/>
          <w:sz w:val="28"/>
          <w:szCs w:val="28"/>
          <w:shd w:fill="auto" w:val="clear"/>
        </w:rPr>
        <w:t xml:space="preserve"> </w:t>
      </w:r>
      <w:r>
        <w:rPr>
          <w:rFonts w:eastAsia="Times New Roman" w:ascii="Times New Roman" w:hAnsi="Times New Roman"/>
          <w:spacing w:val="8"/>
          <w:sz w:val="28"/>
          <w:szCs w:val="28"/>
          <w:shd w:fill="auto" w:val="clear"/>
        </w:rPr>
        <w:t xml:space="preserve">  </w:t>
      </w:r>
      <w:r>
        <w:rPr>
          <w:rFonts w:eastAsia="Times New Roman" w:ascii="Times New Roman" w:hAnsi="Times New Roman"/>
          <w:spacing w:val="8"/>
          <w:sz w:val="28"/>
          <w:szCs w:val="28"/>
          <w:shd w:fill="auto" w:val="clear"/>
        </w:rPr>
        <w:t xml:space="preserve">4. </w:t>
      </w:r>
      <w:r>
        <w:rPr>
          <w:rFonts w:eastAsia="Arial" w:ascii="Times New Roman" w:hAnsi="Times New Roman"/>
          <w:spacing w:val="8"/>
          <w:sz w:val="28"/>
          <w:szCs w:val="28"/>
          <w:shd w:fill="auto" w:val="clear"/>
        </w:rPr>
        <w:t>К настоящей проверке представлены документы по результатам инвентаризации 2024 года: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/>
          <w:spacing w:val="8"/>
          <w:sz w:val="28"/>
          <w:szCs w:val="28"/>
          <w:shd w:fill="auto" w:val="clear"/>
          <w:lang w:val="ru-RU"/>
        </w:rPr>
      </w:pPr>
      <w:r>
        <w:rPr>
          <w:rFonts w:eastAsia="Arial" w:ascii="Times New Roman" w:hAnsi="Times New Roman"/>
          <w:spacing w:val="8"/>
          <w:sz w:val="28"/>
          <w:szCs w:val="28"/>
          <w:shd w:fill="auto" w:val="clear"/>
          <w:lang w:val="ru-RU"/>
        </w:rPr>
        <w:t>- инвентаризационные описи № 1, №5, №6 по объектам нефинансовых активов (ф. 0504087)  на 01.10.2024;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/>
          <w:spacing w:val="8"/>
          <w:sz w:val="28"/>
          <w:szCs w:val="28"/>
          <w:shd w:fill="auto" w:val="clear"/>
          <w:lang w:val="ru-RU"/>
        </w:rPr>
      </w:pPr>
      <w:r>
        <w:rPr>
          <w:rFonts w:eastAsia="Arial" w:ascii="Times New Roman" w:hAnsi="Times New Roman"/>
          <w:spacing w:val="8"/>
          <w:sz w:val="28"/>
          <w:szCs w:val="28"/>
          <w:shd w:fill="auto" w:val="clear"/>
          <w:lang w:val="ru-RU"/>
        </w:rPr>
        <w:t>- Акт №12 о результатах инвентаризации (дебиторской задолженности) (ф. 0510463) от 15.01.2025;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eastAsia="Arial"/>
          <w:spacing w:val="8"/>
          <w:sz w:val="28"/>
          <w:szCs w:val="28"/>
          <w:shd w:fill="auto" w:val="clear"/>
          <w:lang w:val="ru-RU"/>
        </w:rPr>
      </w:pPr>
      <w:r>
        <w:rPr>
          <w:rFonts w:eastAsia="Arial" w:ascii="Times New Roman" w:hAnsi="Times New Roman"/>
          <w:spacing w:val="8"/>
          <w:sz w:val="28"/>
          <w:szCs w:val="28"/>
          <w:shd w:fill="auto" w:val="clear"/>
          <w:lang w:val="ru-RU"/>
        </w:rPr>
        <w:t>- инвентаризационная опись № 9 расчетов по поступлениям (ф. 0510468)  на 09.01.2025. В пункте 1.1 Расчеты по доходам (поступлениям) по данным</w:t>
      </w:r>
      <w:r>
        <w:rPr>
          <w:rFonts w:eastAsia="Arial"/>
          <w:spacing w:val="8"/>
          <w:sz w:val="28"/>
          <w:szCs w:val="28"/>
          <w:shd w:fill="auto" w:val="clear"/>
          <w:lang w:val="ru-RU"/>
        </w:rPr>
        <w:t xml:space="preserve"> </w:t>
      </w:r>
      <w:r>
        <w:rPr>
          <w:rFonts w:eastAsia="Arial" w:ascii="Times New Roman" w:hAnsi="Times New Roman"/>
          <w:spacing w:val="8"/>
          <w:sz w:val="28"/>
          <w:szCs w:val="28"/>
          <w:shd w:fill="auto" w:val="clear"/>
          <w:lang w:val="ru-RU"/>
        </w:rPr>
        <w:t>бухгалтерского учета (дебиторская задолженность) указаны, в том числе, следующие суммы задолженности: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/>
          <w:spacing w:val="8"/>
          <w:sz w:val="28"/>
          <w:szCs w:val="28"/>
          <w:shd w:fill="auto" w:val="clear"/>
          <w:lang w:val="ru-RU"/>
        </w:rPr>
      </w:pPr>
      <w:r>
        <w:rPr>
          <w:rFonts w:eastAsia="Arial" w:ascii="Times New Roman" w:hAnsi="Times New Roman"/>
          <w:spacing w:val="8"/>
          <w:sz w:val="28"/>
          <w:szCs w:val="28"/>
          <w:shd w:fill="auto" w:val="clear"/>
          <w:lang w:val="ru-RU"/>
        </w:rPr>
        <w:t>- по счету 1 302 26 (Расчеты по прочим работам, услугам) — 228 516,34 руб.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/>
          <w:spacing w:val="8"/>
          <w:sz w:val="28"/>
          <w:szCs w:val="28"/>
          <w:shd w:fill="auto" w:val="clear"/>
          <w:lang w:val="ru-RU"/>
        </w:rPr>
      </w:pPr>
      <w:r>
        <w:rPr>
          <w:rFonts w:eastAsia="Arial" w:ascii="Times New Roman" w:hAnsi="Times New Roman"/>
          <w:spacing w:val="8"/>
          <w:sz w:val="28"/>
          <w:szCs w:val="28"/>
          <w:shd w:fill="auto" w:val="clear"/>
          <w:lang w:val="ru-RU"/>
        </w:rPr>
        <w:t>- по счету 1 302 62 (Расчеты по пособиям по социальной помощи населению в денежной форме) — 29 061,36 руб.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/>
          <w:spacing w:val="8"/>
          <w:sz w:val="28"/>
          <w:szCs w:val="28"/>
          <w:shd w:fill="auto" w:val="clear"/>
          <w:lang w:val="ru-RU"/>
        </w:rPr>
      </w:pPr>
      <w:r>
        <w:rPr>
          <w:rFonts w:eastAsia="Arial" w:ascii="Times New Roman" w:hAnsi="Times New Roman"/>
          <w:spacing w:val="8"/>
          <w:sz w:val="28"/>
          <w:szCs w:val="28"/>
          <w:shd w:fill="auto" w:val="clear"/>
          <w:lang w:val="ru-RU"/>
        </w:rPr>
        <w:t>- по счету 1 303 05 (Расчеты по прочим платежам в бюджет) — 423 662,95 руб.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 w:cs="Times New Roman"/>
          <w:b w:val="false"/>
          <w:i w:val="false"/>
          <w:i w:val="false"/>
          <w:color w:val="00000A"/>
          <w:spacing w:val="8"/>
          <w:sz w:val="28"/>
          <w:szCs w:val="28"/>
          <w:u w:val="none"/>
          <w:shd w:fill="auto" w:val="clear"/>
          <w:lang w:val="ru-RU"/>
        </w:rPr>
      </w:pPr>
      <w:r>
        <w:rPr>
          <w:rFonts w:eastAsia="Arial" w:cs="Times New Roman" w:ascii="Times New Roman" w:hAnsi="Times New Roman"/>
          <w:b w:val="false"/>
          <w:i w:val="false"/>
          <w:color w:val="00000A"/>
          <w:spacing w:val="8"/>
          <w:sz w:val="28"/>
          <w:szCs w:val="28"/>
          <w:u w:val="none"/>
          <w:shd w:fill="auto" w:val="clear"/>
          <w:lang w:val="ru-RU"/>
        </w:rPr>
        <w:t>- по счету 1 401 49 (Доходы будущих периодов к признанию в очередные года) — 2 055 034 628,83 руб.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Times New Roman" w:cs="Times New Roman"/>
          <w:b w:val="false"/>
          <w:bCs/>
          <w:i w:val="false"/>
          <w:i w:val="false"/>
          <w:strike w:val="false"/>
          <w:dstrike w:val="false"/>
          <w:color w:val="000000"/>
          <w:spacing w:val="8"/>
          <w:sz w:val="28"/>
          <w:szCs w:val="28"/>
          <w:u w:val="none"/>
          <w:shd w:fill="auto" w:val="clear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8"/>
          <w:sz w:val="28"/>
          <w:szCs w:val="28"/>
          <w:u w:val="none"/>
          <w:shd w:fill="auto" w:val="clear"/>
          <w:lang w:val="ru-RU" w:eastAsia="ru-RU"/>
        </w:rPr>
        <w:t>- по счету 1 401 60 (Резервы предстоящих расходов) — 613 767,45 руб.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Однако, согласно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Сведениям по дебиторской и кредиторской задолженности (ф. 0503169), данные суммы задолженности должны быть отражены в пункте 1.2 Расчеты по доходам (поступлениям) (ф. 0510468) по данным бухгалтерского учета (кредиторская задолженность).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b w:val="false"/>
          <w:i w:val="false"/>
          <w:i w:val="false"/>
          <w:strike w:val="false"/>
          <w:dstrike w:val="false"/>
          <w:outline w:val="false"/>
          <w:shadow w:val="false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u w:val="none"/>
          <w:em w:val="none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                                                    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                            Л.А. Панченко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335" w:right="656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>
        <w:rStyle w:val="Style13"/>
        <w:rFonts w:eastAsia="Times New Roman"/>
        <w:b/>
        <w:bCs/>
        <w:iCs w:val="false"/>
        <w:outline w:val="false"/>
        <w:shadow w:val="false"/>
        <w:color w:val="000000"/>
        <w:kern w:val="2"/>
        <w:position w:val="0"/>
        <w:sz w:val="25"/>
        <w:sz w:val="28"/>
        <w:szCs w:val="28"/>
        <w:vertAlign w:val="baseline"/>
        <w:em w:val="none"/>
        <w:lang w:val="ru-RU" w:eastAsia="ru-RU" w:bidi="hi-IN"/>
      </w:rPr>
      <w:t xml:space="preserve">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6">
    <w:name w:val="Heading 6"/>
    <w:basedOn w:val="Style19"/>
    <w:next w:val="Style20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Style13">
    <w:name w:val="Основной текст_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tyle14">
    <w:name w:val="Emphasis"/>
    <w:qFormat/>
    <w:rPr>
      <w:i/>
      <w:iCs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2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b/>
      <w:sz w:val="28"/>
      <w:szCs w:val="28"/>
    </w:rPr>
  </w:style>
  <w:style w:type="character" w:styleId="WW8Num4z1">
    <w:name w:val="WW8Num4z1"/>
    <w:qFormat/>
    <w:rPr>
      <w:b w:val="false"/>
      <w:sz w:val="28"/>
      <w:szCs w:val="28"/>
    </w:rPr>
  </w:style>
  <w:style w:type="character" w:styleId="Strong">
    <w:name w:val="Strong"/>
    <w:basedOn w:val="Style17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character" w:styleId="Style16">
    <w:name w:val="FollowedHyperlink"/>
    <w:rPr>
      <w:color w:val="800080"/>
      <w:u w:val="single"/>
    </w:rPr>
  </w:style>
  <w:style w:type="character" w:styleId="Style17">
    <w:name w:val="Основной шрифт абзаца"/>
    <w:qFormat/>
    <w:rPr/>
  </w:style>
  <w:style w:type="character" w:styleId="Style18">
    <w:name w:val="Символ нумерации"/>
    <w:qFormat/>
    <w:rPr/>
  </w:style>
  <w:style w:type="character" w:styleId="Strong1">
    <w:name w:val="Strong1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ef1edeee2edeee9f2e5eaf1f2f1eef2f1f2f3efeeec">
    <w:name w:val="Оceсf1нedоeeвe2нedоeeйe9 тf2еe5кeaсf1тf2 сf1 оeeтf2сf1тf2уf3пefоeeмec"/>
    <w:basedOn w:val="Normal"/>
    <w:next w:val="Style24"/>
    <w:qFormat/>
    <w:pPr>
      <w:widowControl w:val="false"/>
      <w:suppressAutoHyphens w:val="true"/>
      <w:bidi w:val="0"/>
      <w:ind w:left="-360" w:right="0" w:hanging="0"/>
      <w:jc w:val="left"/>
      <w:textAlignment w:val="auto"/>
    </w:pPr>
    <w:rPr>
      <w:rFonts w:ascii="Liberation Serif;Times New Roman" w:hAnsi="Liberation Serif;Times New Roman" w:eastAsia="Liberation Serif;Times New Roman" w:cs="Liberation Serif;Times New Roman"/>
      <w:kern w:val="2"/>
      <w:sz w:val="24"/>
      <w:lang w:val="ru-RU" w:eastAsia="ar-SA"/>
    </w:rPr>
  </w:style>
  <w:style w:type="paragraph" w:styleId="Style24">
    <w:name w:val="Цитата"/>
    <w:basedOn w:val="Normal"/>
    <w:next w:val="BodyText2"/>
    <w:qFormat/>
    <w:pPr>
      <w:ind w:left="567" w:right="-199" w:hanging="0"/>
    </w:pPr>
    <w:rPr>
      <w:sz w:val="24"/>
    </w:rPr>
  </w:style>
  <w:style w:type="paragraph" w:styleId="BodyText2">
    <w:name w:val="Body Text 2"/>
    <w:basedOn w:val="Normal"/>
    <w:next w:val="Style27"/>
    <w:qFormat/>
    <w:pPr/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next w:val="Cef1edeee2edeee9f2e5eaf1f2f1eef2f1f2f3efeeec"/>
    <w:pPr>
      <w:suppressLineNumbers/>
      <w:tabs>
        <w:tab w:val="clear" w:pos="720"/>
        <w:tab w:val="center" w:pos="4845" w:leader="none"/>
        <w:tab w:val="right" w:pos="9690" w:leader="none"/>
      </w:tabs>
    </w:pPr>
    <w:rPr/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Обычный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32">
    <w:name w:val="Объект со стрелко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3">
    <w:name w:val="Объект с тенью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4">
    <w:name w:val="Объект без заливки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5">
    <w:name w:val="Объект без заливки и лини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6">
    <w:name w:val="Выравнивание текста по ширине"/>
    <w:basedOn w:val="Style31"/>
    <w:qFormat/>
    <w:pPr>
      <w:spacing w:lineRule="atLeast" w:line="200" w:before="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31"/>
    <w:qFormat/>
    <w:pPr>
      <w:spacing w:lineRule="atLeast" w:line="200" w:before="0" w:after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31"/>
    <w:qFormat/>
    <w:pPr>
      <w:spacing w:lineRule="atLeast" w:line="200" w:before="57" w:after="57"/>
      <w:ind w:left="0" w:right="113" w:hanging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7">
    <w:name w:val="Размерная линия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tyle38">
    <w:name w:val="Объекты фон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39">
    <w:name w:val="Фон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40">
    <w:name w:val="Примечания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1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1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yle41">
    <w:name w:val="Body Text Indent"/>
    <w:basedOn w:val="Normal"/>
    <w:pPr>
      <w:ind w:left="-360" w:right="0" w:hanging="0"/>
    </w:pPr>
    <w:rPr/>
  </w:style>
  <w:style w:type="paragraph" w:styleId="Style42">
    <w:name w:val="Обычный (веб)"/>
    <w:basedOn w:val="Normal"/>
    <w:next w:val="ListParagraph"/>
    <w:qFormat/>
    <w:pPr>
      <w:widowControl/>
      <w:tabs>
        <w:tab w:val="clear" w:pos="720"/>
      </w:tabs>
      <w:spacing w:before="100" w:after="100"/>
      <w:ind w:left="0" w:right="0" w:hanging="0"/>
      <w:jc w:val="left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next w:val="213e34354036383c3e354230313b38464b"/>
    <w:qFormat/>
    <w:pPr>
      <w:ind w:left="720" w:right="0" w:hanging="0"/>
    </w:pPr>
    <w:rPr/>
  </w:style>
  <w:style w:type="paragraph" w:styleId="213e34354036383c3e354230313b38464b">
    <w:name w:val="С21о3eд34е35р40ж36и38м3cо3eе35 т42а30б31л3bи38ц46ы4b"/>
    <w:basedOn w:val="Normal"/>
    <w:next w:val="Style44"/>
    <w:qFormat/>
    <w:pPr>
      <w:suppressLineNumbers/>
      <w:suppressAutoHyphens w:val="false"/>
    </w:pPr>
    <w:rPr>
      <w:rFonts w:ascii="Liberation Serif;Times New Roman" w:hAnsi="Liberation Serif;Times New Roman" w:eastAsia="Times New Roman" w:cs="Liberation Serif;Times New Roman"/>
      <w:color w:val="000000"/>
      <w:sz w:val="24"/>
      <w:lang w:eastAsia="zh-CN"/>
    </w:rPr>
  </w:style>
  <w:style w:type="paragraph" w:styleId="Style43">
    <w:name w:val="Текст выноски"/>
    <w:basedOn w:val="Normal"/>
    <w:next w:val="Style30"/>
    <w:qFormat/>
    <w:pPr/>
    <w:rPr>
      <w:rFonts w:ascii="Tahoma" w:hAnsi="Tahoma" w:cs="Tahoma"/>
      <w:sz w:val="16"/>
      <w:szCs w:val="16"/>
    </w:rPr>
  </w:style>
  <w:style w:type="paragraph" w:styleId="Style44">
    <w:name w:val="Верхний колонтитул слева"/>
    <w:basedOn w:val="Style43"/>
    <w:qFormat/>
    <w:pPr>
      <w:suppressLineNumbers/>
      <w:tabs>
        <w:tab w:val="clear" w:pos="720"/>
        <w:tab w:val="center" w:pos="5069" w:leader="none"/>
        <w:tab w:val="left" w:pos="8505" w:leader="none"/>
        <w:tab w:val="right" w:pos="10139" w:leader="none"/>
      </w:tabs>
    </w:pPr>
    <w:rPr/>
  </w:style>
  <w:style w:type="paragraph" w:styleId="ConsPlusNonformat">
    <w:name w:val="ConsPlusNonformat"/>
    <w:next w:val="NormalWeb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next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Standard">
    <w:name w:val="Standard"/>
    <w:next w:val="ListParagraph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Calibri" w:cs="Arial"/>
      <w:color w:val="auto"/>
      <w:kern w:val="2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b/>
      <w:color w:val="auto"/>
      <w:kern w:val="2"/>
      <w:sz w:val="22"/>
      <w:szCs w:val="20"/>
      <w:lang w:val="ru-RU" w:eastAsia="zh-CN" w:bidi="ar-SA"/>
    </w:rPr>
  </w:style>
  <w:style w:type="paragraph" w:styleId="22">
    <w:name w:val="Указатель2"/>
    <w:basedOn w:val="Normal"/>
    <w:next w:val="Style29"/>
    <w:qFormat/>
    <w:pPr>
      <w:suppressLineNumbers/>
    </w:pPr>
    <w:rPr>
      <w:rFonts w:cs="Arial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  <w:szCs w:val="28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10540</TotalTime>
  <Application>LibreOffice/7.5.7.1$Windows_X86_64 LibreOffice_project/47eb0cf7efbacdee9b19ae25d6752381ede23126</Application>
  <AppVersion>15.0000</AppVersion>
  <Pages>4</Pages>
  <Words>999</Words>
  <Characters>6458</Characters>
  <CharactersWithSpaces>7694</CharactersWithSpaces>
  <Paragraphs>42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2025-04-16T10:58:00Z</dcterms:created>
  <dc:creator/>
  <dc:description/>
  <dc:language>ru-RU</dc:language>
  <cp:lastModifiedBy/>
  <dcterms:modified xsi:type="dcterms:W3CDTF">2025-05-12T10:15:20Z</dcterms:modified>
  <cp:revision>460</cp:revision>
  <dc:subject/>
  <dc:title>Постановление Правительства МО от 17.05.2013 N 323/18(ред. от 07.10.2024)"Об оплате труда работников государственных учреждений Московской области сферы культуры"(вместе с "Положением об оплате труда работников государственных учреждений Московской области сферы культуры")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