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45485D">
      <w:pPr>
        <w:pStyle w:val="20"/>
        <w:ind w:left="5670" w:firstLine="0"/>
        <w:jc w:val="both"/>
        <w:rPr>
          <w:sz w:val="24"/>
          <w:szCs w:val="24"/>
        </w:rPr>
      </w:pPr>
    </w:p>
    <w:tbl>
      <w:tblPr>
        <w:tblStyle w:val="4"/>
        <w:tblW w:w="10365" w:type="dxa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16"/>
        <w:gridCol w:w="5143"/>
        <w:gridCol w:w="106"/>
      </w:tblGrid>
      <w:tr w14:paraId="75B8A3BF">
        <w:trPr>
          <w:trHeight w:val="525" w:hRule="atLeast"/>
        </w:trPr>
        <w:tc>
          <w:tcPr>
            <w:tcW w:w="10259" w:type="dxa"/>
            <w:gridSpan w:val="2"/>
            <w:shd w:val="clear" w:color="auto" w:fill="auto"/>
          </w:tcPr>
          <w:p w14:paraId="3184874C">
            <w:pPr>
              <w:spacing w:before="0"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14:paraId="7FD95705">
            <w:pPr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ПРЕДПИСАНИЕ № __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</w:t>
            </w:r>
          </w:p>
        </w:tc>
        <w:tc>
          <w:tcPr>
            <w:tcW w:w="106" w:type="dxa"/>
            <w:shd w:val="clear" w:color="auto" w:fill="auto"/>
          </w:tcPr>
          <w:p w14:paraId="0D719F09">
            <w:pPr>
              <w:snapToGrid w:val="0"/>
              <w:spacing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14:paraId="4E2A25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0259" w:type="dxa"/>
            <w:gridSpan w:val="2"/>
            <w:tcBorders>
              <w:bottom w:val="single" w:color="000000" w:sz="4" w:space="0"/>
            </w:tcBorders>
            <w:shd w:val="clear" w:color="auto" w:fill="auto"/>
          </w:tcPr>
          <w:p w14:paraId="5DF2B788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 устранении нарушений и 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соблюдении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обязательных требований</w:t>
            </w:r>
          </w:p>
          <w:p w14:paraId="7D83A923">
            <w:pPr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bookmarkStart w:id="0" w:name="_Hlk97769941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сфере благоустройства</w:t>
            </w:r>
            <w:bookmarkEnd w:id="0"/>
          </w:p>
        </w:tc>
        <w:tc>
          <w:tcPr>
            <w:tcW w:w="106" w:type="dxa"/>
            <w:shd w:val="clear" w:color="auto" w:fill="auto"/>
          </w:tcPr>
          <w:p w14:paraId="5BF6FB4E">
            <w:pPr>
              <w:snapToGrid w:val="0"/>
              <w:spacing w:before="0" w:after="1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26FECF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5116" w:type="dxa"/>
            <w:shd w:val="clear" w:color="auto" w:fill="auto"/>
            <w:vAlign w:val="bottom"/>
          </w:tcPr>
          <w:p w14:paraId="0A3ED0B4">
            <w:pPr>
              <w:spacing w:before="0"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 округ Фрязино</w:t>
            </w:r>
          </w:p>
        </w:tc>
        <w:tc>
          <w:tcPr>
            <w:tcW w:w="5143" w:type="dxa"/>
            <w:shd w:val="clear" w:color="auto" w:fill="auto"/>
            <w:vAlign w:val="bottom"/>
          </w:tcPr>
          <w:p w14:paraId="05CBC20C">
            <w:pPr>
              <w:spacing w:before="0" w:after="0" w:line="240" w:lineRule="auto"/>
              <w:jc w:val="center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 « 18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сентября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2025 г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ода</w:t>
            </w:r>
          </w:p>
        </w:tc>
        <w:tc>
          <w:tcPr>
            <w:tcW w:w="106" w:type="dxa"/>
            <w:shd w:val="clear" w:color="auto" w:fill="auto"/>
          </w:tcPr>
          <w:p w14:paraId="034200AB">
            <w:pPr>
              <w:snapToGrid w:val="0"/>
              <w:spacing w:before="0" w:after="160"/>
              <w:rPr>
                <w:rFonts w:ascii="Times New Roman" w:hAnsi="Times New Roman" w:cs="Times New Roman"/>
              </w:rPr>
            </w:pPr>
          </w:p>
        </w:tc>
      </w:tr>
      <w:tr w14:paraId="4DC038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5116" w:type="dxa"/>
            <w:shd w:val="clear" w:color="auto" w:fill="auto"/>
          </w:tcPr>
          <w:p w14:paraId="5FFADCA7">
            <w:pPr>
              <w:spacing w:before="0"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5143" w:type="dxa"/>
            <w:shd w:val="clear" w:color="auto" w:fill="auto"/>
          </w:tcPr>
          <w:p w14:paraId="7104B6A1">
            <w:pPr>
              <w:spacing w:before="0"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" w:type="dxa"/>
            <w:shd w:val="clear" w:color="auto" w:fill="auto"/>
          </w:tcPr>
          <w:p w14:paraId="56AC5155">
            <w:pPr>
              <w:snapToGrid w:val="0"/>
              <w:spacing w:before="0" w:after="160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14:paraId="45F31C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4" w:hRule="atLeast"/>
        </w:trPr>
        <w:tc>
          <w:tcPr>
            <w:tcW w:w="10365" w:type="dxa"/>
            <w:gridSpan w:val="3"/>
            <w:shd w:val="clear" w:color="auto" w:fill="auto"/>
          </w:tcPr>
          <w:p w14:paraId="023BA134">
            <w:pPr>
              <w:pStyle w:val="8"/>
              <w:spacing w:before="0" w:after="0"/>
              <w:ind w:left="0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 w:eastAsia="zh-CN"/>
              </w:rPr>
              <w:t>Лицо, уполномоченное осуществлять на территории городского округа Фрязино Московской области муниципальный контроль в сфере благоустройства - начальник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zh-CN"/>
              </w:rPr>
              <w:t>управления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благоустройства, дорожного хозяйства и транспорта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 w:eastAsia="zh-CN"/>
              </w:rPr>
              <w:t xml:space="preserve"> П.Ю. Никишкин,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прове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:</w:t>
            </w:r>
          </w:p>
          <w:p w14:paraId="7C589125">
            <w:pPr>
              <w:pStyle w:val="8"/>
              <w:spacing w:before="0"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контрольное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(надзорное)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в целях проверки устранения нарушений и соблюдении обязательных требований в сфере благоустройства</w:t>
            </w:r>
          </w:p>
        </w:tc>
      </w:tr>
      <w:tr w14:paraId="625BD0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365" w:type="dxa"/>
            <w:gridSpan w:val="3"/>
            <w:tcBorders>
              <w:top w:val="single" w:color="000000" w:sz="4" w:space="0"/>
            </w:tcBorders>
            <w:shd w:val="clear" w:color="auto" w:fill="auto"/>
          </w:tcPr>
          <w:p w14:paraId="03807262">
            <w:pPr>
              <w:spacing w:before="0" w:after="160"/>
              <w:jc w:val="center"/>
              <w:rPr>
                <w:rFonts w:hint="default" w:ascii="Times New Roman" w:hAnsi="Times New Roman" w:cs="Times New Roman"/>
                <w:i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i/>
                <w:sz w:val="18"/>
                <w:szCs w:val="18"/>
                <w:lang w:val="ru-RU"/>
              </w:rPr>
              <w:t xml:space="preserve"> </w:t>
            </w:r>
          </w:p>
        </w:tc>
      </w:tr>
      <w:tr w14:paraId="158A06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0365" w:type="dxa"/>
            <w:gridSpan w:val="3"/>
            <w:shd w:val="clear" w:color="auto" w:fill="auto"/>
          </w:tcPr>
          <w:p w14:paraId="00FD169E">
            <w:pPr>
              <w:snapToGrid w:val="0"/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ходе которого присутствовал:</w:t>
            </w:r>
          </w:p>
          <w:p w14:paraId="44570B71">
            <w:pPr>
              <w:snapToGrid w:val="0"/>
              <w:spacing w:before="0" w:after="0" w:line="240" w:lineRule="auto"/>
              <w:jc w:val="both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 w:eastAsia="zh-CN"/>
              </w:rPr>
              <w:t xml:space="preserve">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без участия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 w:eastAsia="zh-CN"/>
              </w:rPr>
              <w:t xml:space="preserve"> иных лиц</w:t>
            </w:r>
          </w:p>
        </w:tc>
      </w:tr>
      <w:tr w14:paraId="1CA333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" w:hRule="atLeast"/>
        </w:trPr>
        <w:tc>
          <w:tcPr>
            <w:tcW w:w="10365" w:type="dxa"/>
            <w:gridSpan w:val="3"/>
            <w:shd w:val="clear" w:color="auto" w:fill="auto"/>
          </w:tcPr>
          <w:p w14:paraId="11CE52C0">
            <w:pPr>
              <w:snapToGrid w:val="0"/>
              <w:spacing w:before="0" w:after="160"/>
              <w:jc w:val="both"/>
              <w:rPr>
                <w:rFonts w:cs="Times New Roman"/>
                <w:i/>
              </w:rPr>
            </w:pPr>
          </w:p>
        </w:tc>
      </w:tr>
    </w:tbl>
    <w:p w14:paraId="0FA17510">
      <w:pPr>
        <w:suppressAutoHyphens/>
        <w:spacing w:before="0" w:after="0" w:line="240" w:lineRule="auto"/>
        <w:ind w:firstLine="0"/>
        <w:jc w:val="both"/>
        <w:rPr>
          <w:rFonts w:hint="default" w:ascii="Times New Roman" w:hAnsi="Times New Roman" w:cs="Times New Roman"/>
          <w:sz w:val="22"/>
          <w:szCs w:val="22"/>
          <w:lang w:val="ru-RU"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 xml:space="preserve">     </w:t>
      </w:r>
      <w:r>
        <w:rPr>
          <w:rFonts w:ascii="Times New Roman" w:hAnsi="Times New Roman" w:cs="Times New Roman"/>
          <w:sz w:val="22"/>
          <w:szCs w:val="22"/>
          <w:lang w:eastAsia="zh-CN"/>
        </w:rPr>
        <w:t xml:space="preserve">Руководствуясь </w:t>
      </w:r>
      <w:bookmarkStart w:id="1" w:name="_Hlk97769461"/>
      <w:r>
        <w:rPr>
          <w:rFonts w:ascii="Times New Roman" w:hAnsi="Times New Roman" w:cs="Times New Roman"/>
          <w:sz w:val="22"/>
          <w:szCs w:val="22"/>
        </w:rPr>
        <w:t xml:space="preserve">Положением о муниципальном контроле в сфере благоустройства на территории  городского округа Фрязино Московской области, утвержденным </w:t>
      </w:r>
      <w:bookmarkEnd w:id="1"/>
      <w:r>
        <w:rPr>
          <w:rFonts w:ascii="Times New Roman" w:hAnsi="Times New Roman" w:cs="Times New Roman"/>
          <w:sz w:val="22"/>
          <w:szCs w:val="22"/>
        </w:rPr>
        <w:t xml:space="preserve">Решением Совета депутатов городского округа Фрязино от </w:t>
      </w:r>
      <w:r>
        <w:rPr>
          <w:rFonts w:hint="default" w:ascii="Times New Roman" w:hAnsi="Times New Roman" w:cs="Times New Roman"/>
          <w:sz w:val="22"/>
          <w:szCs w:val="22"/>
          <w:lang w:val="ru-RU"/>
        </w:rPr>
        <w:t>17.06.2025 № 576/99</w:t>
      </w:r>
      <w:r>
        <w:rPr>
          <w:rFonts w:ascii="Times New Roman" w:hAnsi="Times New Roman" w:cs="Times New Roman"/>
          <w:sz w:val="22"/>
          <w:szCs w:val="22"/>
        </w:rPr>
        <w:t xml:space="preserve"> «Об утверждении Положения о муниципальном контроле в сфере благоустройства на территории  городского округа Фрязино Московской области», а также </w:t>
      </w:r>
      <w:r>
        <w:rPr>
          <w:rFonts w:ascii="Times New Roman" w:hAnsi="Times New Roman" w:cs="Times New Roman"/>
          <w:sz w:val="22"/>
          <w:szCs w:val="22"/>
          <w:lang w:eastAsia="zh-CN"/>
        </w:rPr>
        <w:t xml:space="preserve"> пунктом 1 части 2 статьи 90 Федерального закона от 31.07.2020 N 248-ФЗ «О государственном контроле (надзоре) и муниципальном контроле в Российской Федерации»,</w:t>
      </w:r>
      <w:r>
        <w:rPr>
          <w:rFonts w:hint="default" w:ascii="Times New Roman" w:hAnsi="Times New Roman" w:cs="Times New Roman"/>
          <w:sz w:val="22"/>
          <w:szCs w:val="22"/>
          <w:lang w:val="ru-RU" w:eastAsia="zh-CN"/>
        </w:rPr>
        <w:t>-</w:t>
      </w:r>
    </w:p>
    <w:p w14:paraId="0FB7F276">
      <w:pPr>
        <w:suppressAutoHyphens/>
        <w:spacing w:before="0" w:after="0" w:line="240" w:lineRule="auto"/>
        <w:ind w:firstLine="0"/>
        <w:jc w:val="both"/>
        <w:rPr>
          <w:rFonts w:hint="default" w:ascii="Times New Roman" w:hAnsi="Times New Roman" w:cs="Times New Roman"/>
          <w:sz w:val="22"/>
          <w:szCs w:val="22"/>
          <w:lang w:val="ru-RU" w:eastAsia="zh-CN"/>
        </w:rPr>
      </w:pPr>
    </w:p>
    <w:p w14:paraId="24CDF6DA">
      <w:pPr>
        <w:suppressAutoHyphens/>
        <w:spacing w:before="0" w:after="0" w:line="240" w:lineRule="auto"/>
        <w:jc w:val="center"/>
        <w:rPr>
          <w:rFonts w:ascii="Times New Roman" w:hAnsi="Times New Roman"/>
          <w:b/>
          <w:bCs/>
          <w:sz w:val="21"/>
          <w:szCs w:val="21"/>
          <w:lang w:eastAsia="zh-CN"/>
        </w:rPr>
      </w:pPr>
      <w:r>
        <w:rPr>
          <w:rFonts w:ascii="Times New Roman" w:hAnsi="Times New Roman"/>
          <w:b/>
          <w:bCs/>
          <w:sz w:val="24"/>
          <w:szCs w:val="24"/>
          <w:lang w:eastAsia="zh-CN"/>
        </w:rPr>
        <w:t xml:space="preserve">П Р Е Д П И С Ы В А Ю: </w:t>
      </w:r>
    </w:p>
    <w:tbl>
      <w:tblPr>
        <w:tblStyle w:val="4"/>
        <w:tblW w:w="9911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0"/>
        <w:gridCol w:w="3924"/>
        <w:gridCol w:w="3682"/>
        <w:gridCol w:w="1745"/>
      </w:tblGrid>
      <w:tr w14:paraId="103AC0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5F546C4">
            <w:pPr>
              <w:suppressAutoHyphens/>
              <w:spacing w:before="0" w:after="0" w:line="240" w:lineRule="auto"/>
              <w:jc w:val="center"/>
              <w:rPr>
                <w:rFonts w:ascii="Times New Roman" w:hAnsi="Times New Roman"/>
                <w:b/>
                <w:bCs/>
                <w:sz w:val="21"/>
                <w:szCs w:val="21"/>
                <w:lang w:eastAsia="zh-CN"/>
              </w:rPr>
            </w:pPr>
          </w:p>
          <w:p w14:paraId="709B26E9">
            <w:pPr>
              <w:suppressAutoHyphens/>
              <w:spacing w:before="0"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  <w:lang w:val="en-US" w:eastAsia="zh-CN"/>
              </w:rPr>
              <w:t xml:space="preserve">N </w:t>
            </w:r>
            <w:r>
              <w:rPr>
                <w:rFonts w:ascii="Times New Roman" w:hAnsi="Times New Roman"/>
                <w:b/>
                <w:bCs/>
                <w:sz w:val="21"/>
                <w:szCs w:val="21"/>
                <w:lang w:eastAsia="zh-CN"/>
              </w:rPr>
              <w:t>п/п</w:t>
            </w:r>
          </w:p>
        </w:tc>
        <w:tc>
          <w:tcPr>
            <w:tcW w:w="3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D882D28">
            <w:pPr>
              <w:suppressAutoHyphens/>
              <w:spacing w:before="0"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  <w:lang w:eastAsia="zh-CN"/>
              </w:rPr>
              <w:t>Вид нарушения обязательных требований, с указанием места выявленного нарушения, которые подлежат устранению</w:t>
            </w:r>
          </w:p>
        </w:tc>
        <w:tc>
          <w:tcPr>
            <w:tcW w:w="3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A4833AF">
            <w:pPr>
              <w:suppressAutoHyphens/>
              <w:spacing w:before="0"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  <w:lang w:eastAsia="zh-CN"/>
              </w:rPr>
              <w:t>Ссылки на нормативные правовые акты, устанавливающие обязательные требования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6422CFD">
            <w:pPr>
              <w:suppressAutoHyphens/>
              <w:spacing w:before="0"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  <w:lang w:eastAsia="zh-CN"/>
              </w:rPr>
              <w:t>Срок устранения нарушения обязательных требований</w:t>
            </w:r>
          </w:p>
        </w:tc>
      </w:tr>
      <w:tr w14:paraId="194C81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4" w:hRule="atLeast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8EB15A6">
            <w:pPr>
              <w:suppressAutoHyphens/>
              <w:spacing w:before="0" w:after="0" w:line="240" w:lineRule="auto"/>
              <w:rPr>
                <w:rFonts w:ascii="Times New Roman" w:hAnsi="Times New Roman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3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CAD888E">
            <w:pPr>
              <w:suppressAutoHyphens/>
              <w:spacing w:before="0" w:after="0" w:line="240" w:lineRule="auto"/>
              <w:jc w:val="both"/>
              <w:rPr>
                <w:rFonts w:hint="default" w:ascii="Times New Roman" w:hAnsi="Times New Roman"/>
                <w:b w:val="0"/>
                <w:bCs w:val="0"/>
                <w:sz w:val="21"/>
                <w:szCs w:val="21"/>
                <w:lang w:val="ru-RU" w:eastAsia="zh-CN"/>
              </w:rPr>
            </w:pPr>
            <w:r>
              <w:rPr>
                <w:rFonts w:ascii="Times New Roman" w:hAnsi="Times New Roman"/>
                <w:b w:val="0"/>
                <w:bCs w:val="0"/>
                <w:sz w:val="21"/>
                <w:szCs w:val="21"/>
                <w:lang w:eastAsia="zh-CN"/>
              </w:rPr>
              <w:t>Незаконное размещение некапитальн</w:t>
            </w:r>
            <w:r>
              <w:rPr>
                <w:rFonts w:ascii="Times New Roman" w:hAnsi="Times New Roman"/>
                <w:b w:val="0"/>
                <w:bCs w:val="0"/>
                <w:sz w:val="21"/>
                <w:szCs w:val="21"/>
                <w:lang w:val="ru-RU" w:eastAsia="zh-CN"/>
              </w:rPr>
              <w:t>ых</w:t>
            </w:r>
            <w:r>
              <w:rPr>
                <w:rFonts w:ascii="Times New Roman" w:hAnsi="Times New Roman"/>
                <w:b w:val="0"/>
                <w:bCs w:val="0"/>
                <w:sz w:val="21"/>
                <w:szCs w:val="21"/>
                <w:lang w:eastAsia="zh-CN"/>
              </w:rPr>
              <w:t xml:space="preserve"> объект</w:t>
            </w:r>
            <w:r>
              <w:rPr>
                <w:rFonts w:ascii="Times New Roman" w:hAnsi="Times New Roman"/>
                <w:b w:val="0"/>
                <w:bCs w:val="0"/>
                <w:sz w:val="21"/>
                <w:szCs w:val="21"/>
                <w:lang w:val="ru-RU" w:eastAsia="zh-CN"/>
              </w:rPr>
              <w:t>ов</w:t>
            </w:r>
            <w:r>
              <w:rPr>
                <w:rFonts w:ascii="Times New Roman" w:hAnsi="Times New Roman"/>
                <w:b w:val="0"/>
                <w:bCs w:val="0"/>
                <w:sz w:val="21"/>
                <w:szCs w:val="21"/>
                <w:lang w:eastAsia="zh-CN"/>
              </w:rPr>
              <w:t xml:space="preserve"> — металлическ</w:t>
            </w:r>
            <w:r>
              <w:rPr>
                <w:rFonts w:ascii="Times New Roman" w:hAnsi="Times New Roman"/>
                <w:b w:val="0"/>
                <w:bCs w:val="0"/>
                <w:sz w:val="21"/>
                <w:szCs w:val="21"/>
                <w:lang w:val="ru-RU" w:eastAsia="zh-CN"/>
              </w:rPr>
              <w:t>их</w:t>
            </w:r>
            <w:r>
              <w:rPr>
                <w:rFonts w:ascii="Times New Roman" w:hAnsi="Times New Roman"/>
                <w:b w:val="0"/>
                <w:bCs w:val="0"/>
                <w:sz w:val="21"/>
                <w:szCs w:val="21"/>
                <w:lang w:eastAsia="zh-CN"/>
              </w:rPr>
              <w:t xml:space="preserve"> гараж</w:t>
            </w:r>
            <w:r>
              <w:rPr>
                <w:rFonts w:ascii="Times New Roman" w:hAnsi="Times New Roman"/>
                <w:b w:val="0"/>
                <w:bCs w:val="0"/>
                <w:sz w:val="21"/>
                <w:szCs w:val="21"/>
                <w:lang w:val="ru-RU" w:eastAsia="zh-CN"/>
              </w:rPr>
              <w:t>ей</w:t>
            </w:r>
            <w:r>
              <w:rPr>
                <w:rFonts w:hint="default" w:ascii="Times New Roman" w:hAnsi="Times New Roman"/>
                <w:b w:val="0"/>
                <w:bCs w:val="0"/>
                <w:sz w:val="21"/>
                <w:szCs w:val="21"/>
                <w:lang w:val="ru-RU" w:eastAsia="zh-CN"/>
              </w:rPr>
              <w:t xml:space="preserve">,  </w:t>
            </w:r>
            <w:r>
              <w:rPr>
                <w:rFonts w:ascii="Times New Roman" w:hAnsi="Times New Roman"/>
                <w:b w:val="0"/>
                <w:bCs w:val="0"/>
                <w:sz w:val="21"/>
                <w:szCs w:val="21"/>
                <w:lang w:eastAsia="zh-CN"/>
              </w:rPr>
              <w:t xml:space="preserve"> на территории городского округа Фрязино, по адресу: Московская область, городской округ Фрязино, г. Фрязино, ул.</w:t>
            </w:r>
            <w:r>
              <w:rPr>
                <w:rFonts w:hint="default" w:ascii="Times New Roman" w:hAnsi="Times New Roman"/>
                <w:b w:val="0"/>
                <w:bCs w:val="0"/>
                <w:sz w:val="21"/>
                <w:szCs w:val="21"/>
                <w:lang w:val="ru-RU" w:eastAsia="zh-CN"/>
              </w:rPr>
              <w:t xml:space="preserve">  Вокзальная, 19 «а».</w:t>
            </w:r>
            <w:bookmarkStart w:id="2" w:name="_GoBack"/>
            <w:bookmarkEnd w:id="2"/>
          </w:p>
        </w:tc>
        <w:tc>
          <w:tcPr>
            <w:tcW w:w="3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F408D8E">
            <w:pPr>
              <w:pStyle w:val="24"/>
              <w:ind w:left="-142" w:firstLine="0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Положение о муниципальном контроле в сфере благоустройства на территории городского округа Фрязино Московской области, утвержденным решением Совета депутатов городского округа Фрязино от 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17.06.2025 № 576/99,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Порядок выявления, сноса (демонтажа), хранения и перемещения на площадку временного хранения объектов некапитального строительства, незаконно размещенных на территории городского округа Фрязино Московской области, утвержденным постановлением Администрации городского округа Фрязино от 04.09.2024 № 881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8E42259">
            <w:pPr>
              <w:suppressAutoHyphens/>
              <w:spacing w:before="0" w:after="0" w:line="240" w:lineRule="auto"/>
              <w:rPr>
                <w:rFonts w:ascii="Times New Roman" w:hAnsi="Times New Roman"/>
                <w:b/>
                <w:bCs/>
                <w:sz w:val="21"/>
                <w:szCs w:val="21"/>
                <w:lang w:eastAsia="zh-CN"/>
              </w:rPr>
            </w:pPr>
          </w:p>
          <w:p w14:paraId="6FC6136E">
            <w:pPr>
              <w:suppressAutoHyphens/>
              <w:spacing w:before="0" w:after="0" w:line="240" w:lineRule="auto"/>
              <w:rPr>
                <w:rFonts w:ascii="Times New Roman" w:hAnsi="Times New Roman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/>
                <w:b w:val="0"/>
                <w:bCs w:val="0"/>
                <w:sz w:val="21"/>
                <w:szCs w:val="21"/>
                <w:lang w:eastAsia="zh-CN"/>
              </w:rPr>
              <w:t>30 (тридцать)  дней</w:t>
            </w:r>
          </w:p>
        </w:tc>
      </w:tr>
    </w:tbl>
    <w:p w14:paraId="741B2DCF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При несогласии с предписанными пунктами Вам предоставляется право на досудебное обжалование в установленном законодательством Российской Федерации о государственном контроле (надзоре) порядке. </w:t>
      </w:r>
      <w:r>
        <w:rPr>
          <w:rFonts w:ascii="Times New Roman" w:hAnsi="Times New Roman"/>
          <w:sz w:val="24"/>
          <w:szCs w:val="24"/>
          <w:lang w:eastAsia="zh-CN"/>
        </w:rPr>
        <w:t xml:space="preserve">В случае невыполнения настоящего законного предписания об устранении нарушений законодательства в установленные сроки виновные лица привлекаются к административной ответственности в соответствии с частью 1 статьи 19.5 Кодекса Российской Федерации об административных правонарушениях. </w:t>
      </w:r>
    </w:p>
    <w:p w14:paraId="07AB6AE9">
      <w:pPr>
        <w:suppressAutoHyphens/>
        <w:spacing w:before="0" w:after="0" w:line="240" w:lineRule="auto"/>
        <w:jc w:val="both"/>
        <w:rPr>
          <w:rFonts w:hint="default" w:ascii="Times New Roman" w:hAnsi="Times New Roman" w:cs="Times New Roman"/>
          <w:sz w:val="24"/>
          <w:szCs w:val="24"/>
          <w:lang w:val="ru-RU"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 xml:space="preserve">     </w:t>
      </w:r>
      <w:r>
        <w:rPr>
          <w:rFonts w:hint="default" w:ascii="Times New Roman" w:hAnsi="Times New Roman" w:cs="Times New Roman"/>
          <w:sz w:val="24"/>
          <w:szCs w:val="24"/>
          <w:lang w:val="ru-RU" w:eastAsia="zh-CN"/>
        </w:rPr>
        <w:t xml:space="preserve"> Предписание вынес: начальник 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управления благоустройства, дорожного хозяйства </w:t>
      </w:r>
      <w:r>
        <w:rPr>
          <w:rFonts w:hint="default" w:ascii="Times New Roman" w:hAnsi="Times New Roman" w:cs="Times New Roman"/>
          <w:sz w:val="24"/>
          <w:szCs w:val="24"/>
          <w:lang w:val="ru-RU" w:eastAsia="zh-CN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и транспорта </w:t>
      </w:r>
      <w:r>
        <w:rPr>
          <w:rFonts w:hint="default" w:ascii="Times New Roman" w:hAnsi="Times New Roman" w:cs="Times New Roman"/>
          <w:sz w:val="24"/>
          <w:szCs w:val="24"/>
          <w:lang w:val="ru-RU" w:eastAsia="zh-CN"/>
        </w:rPr>
        <w:t xml:space="preserve"> П.Ю. Никишкин.</w:t>
      </w:r>
    </w:p>
    <w:p w14:paraId="617D87B9">
      <w:pPr>
        <w:suppressAutoHyphens/>
        <w:spacing w:before="0" w:after="0" w:line="240" w:lineRule="auto"/>
        <w:jc w:val="both"/>
        <w:rPr>
          <w:rFonts w:ascii="Times New Roman" w:hAnsi="Times New Roman"/>
          <w:lang w:eastAsia="zh-CN"/>
        </w:rPr>
      </w:pPr>
    </w:p>
    <w:p w14:paraId="2EED4F83">
      <w:pPr>
        <w:suppressAutoHyphens/>
        <w:spacing w:before="0" w:after="0" w:line="240" w:lineRule="auto"/>
        <w:rPr>
          <w:rFonts w:hint="default" w:ascii="Times New Roman" w:hAnsi="Times New Roman"/>
          <w:sz w:val="20"/>
          <w:szCs w:val="20"/>
          <w:vertAlign w:val="subscript"/>
          <w:lang w:val="ru-RU" w:eastAsia="zh-CN"/>
        </w:rPr>
      </w:pPr>
      <w:r>
        <w:rPr>
          <w:rFonts w:hint="default" w:ascii="Times New Roman" w:hAnsi="Times New Roman"/>
          <w:sz w:val="24"/>
          <w:szCs w:val="24"/>
          <w:lang w:val="ru-RU" w:eastAsia="zh-CN"/>
        </w:rPr>
        <w:t xml:space="preserve"> </w:t>
      </w:r>
      <w:r>
        <w:rPr>
          <w:rFonts w:ascii="Times New Roman" w:hAnsi="Times New Roman"/>
          <w:sz w:val="24"/>
          <w:szCs w:val="24"/>
          <w:lang w:eastAsia="zh-CN"/>
        </w:rPr>
        <w:t xml:space="preserve">                                            </w:t>
      </w:r>
      <w:r>
        <w:rPr>
          <w:rFonts w:hint="default" w:ascii="Times New Roman" w:hAnsi="Times New Roman"/>
          <w:sz w:val="24"/>
          <w:szCs w:val="24"/>
          <w:lang w:val="ru-RU" w:eastAsia="zh-CN"/>
        </w:rPr>
        <w:t xml:space="preserve"> </w:t>
      </w:r>
    </w:p>
    <w:sectPr>
      <w:pgSz w:w="11906" w:h="16838"/>
      <w:pgMar w:top="480" w:right="850" w:bottom="428" w:left="1134" w:header="0" w:footer="0" w:gutter="0"/>
      <w:pgNumType w:fmt="decimal"/>
      <w:cols w:space="720" w:num="1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黑体">
    <w:altName w:val="SimSu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Liberation Sans">
    <w:panose1 w:val="020B0604020202020204"/>
    <w:charset w:val="CC"/>
    <w:family w:val="roman"/>
    <w:pitch w:val="default"/>
    <w:sig w:usb0="E0000AFF" w:usb1="500078FF" w:usb2="00000021" w:usb3="00000000" w:csb0="600001BF" w:csb1="DFF7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3208E"/>
    <w:multiLevelType w:val="multilevel"/>
    <w:tmpl w:val="0053208E"/>
    <w:lvl w:ilvl="0" w:tentative="0">
      <w:start w:val="1"/>
      <w:numFmt w:val="decimal"/>
      <w:pStyle w:val="2"/>
      <w:lvlText w:val="%1)"/>
      <w:lvlJc w:val="left"/>
      <w:pPr>
        <w:tabs>
          <w:tab w:val="left" w:pos="1"/>
        </w:tabs>
        <w:ind w:left="1070" w:hanging="360"/>
      </w:pPr>
      <w:rPr>
        <w:rFonts w:ascii="Times New Roman" w:hAnsi="Times New Roman" w:eastAsia="Times New Roman" w:cs="Times New Roman"/>
        <w:sz w:val="22"/>
        <w:szCs w:val="22"/>
      </w:rPr>
    </w:lvl>
    <w:lvl w:ilvl="1" w:tentative="0">
      <w:start w:val="1"/>
      <w:numFmt w:val="lowerLetter"/>
      <w:lvlText w:val="%2."/>
      <w:lvlJc w:val="left"/>
      <w:pPr>
        <w:tabs>
          <w:tab w:val="left" w:pos="0"/>
        </w:tabs>
        <w:ind w:left="2008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0"/>
        </w:tabs>
        <w:ind w:left="2728" w:hanging="180"/>
      </w:pPr>
    </w:lvl>
    <w:lvl w:ilvl="3" w:tentative="0">
      <w:start w:val="1"/>
      <w:numFmt w:val="decimal"/>
      <w:lvlText w:val="%4."/>
      <w:lvlJc w:val="left"/>
      <w:pPr>
        <w:tabs>
          <w:tab w:val="left" w:pos="0"/>
        </w:tabs>
        <w:ind w:left="3448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0"/>
        </w:tabs>
        <w:ind w:left="4168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0"/>
        </w:tabs>
        <w:ind w:left="4888" w:hanging="180"/>
      </w:pPr>
    </w:lvl>
    <w:lvl w:ilvl="6" w:tentative="0">
      <w:start w:val="1"/>
      <w:numFmt w:val="decimal"/>
      <w:lvlText w:val="%7."/>
      <w:lvlJc w:val="left"/>
      <w:pPr>
        <w:tabs>
          <w:tab w:val="left" w:pos="0"/>
        </w:tabs>
        <w:ind w:left="5608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0"/>
        </w:tabs>
        <w:ind w:left="6328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0"/>
        </w:tabs>
        <w:ind w:left="704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bestFit" w:percent="218"/>
  <w:documentProtection w:enforcement="0"/>
  <w:defaultTabStop w:val="708"/>
  <w:autoHyphenation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31F426A"/>
    <w:rsid w:val="069A5A44"/>
    <w:rsid w:val="07463A1E"/>
    <w:rsid w:val="091135A8"/>
    <w:rsid w:val="0A8E0950"/>
    <w:rsid w:val="10971744"/>
    <w:rsid w:val="158540DD"/>
    <w:rsid w:val="1DE62A9E"/>
    <w:rsid w:val="37461804"/>
    <w:rsid w:val="4A943E07"/>
    <w:rsid w:val="51B85C67"/>
    <w:rsid w:val="66115A83"/>
    <w:rsid w:val="7CA274C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widowControl/>
      <w:suppressAutoHyphens/>
      <w:bidi w:val="0"/>
      <w:spacing w:before="0" w:after="160" w:line="259" w:lineRule="auto"/>
      <w:jc w:val="left"/>
    </w:pPr>
    <w:rPr>
      <w:rFonts w:asciiTheme="minorHAnsi" w:hAnsiTheme="minorHAnsi" w:eastAsiaTheme="minorHAnsi" w:cstheme="minorBidi"/>
      <w:color w:val="auto"/>
      <w:kern w:val="0"/>
      <w:sz w:val="22"/>
      <w:szCs w:val="22"/>
      <w:lang w:val="ru-RU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numPr>
        <w:ilvl w:val="0"/>
        <w:numId w:val="1"/>
      </w:numPr>
      <w:suppressAutoHyphens/>
      <w:spacing w:before="240" w:after="60" w:line="276" w:lineRule="auto"/>
      <w:outlineLvl w:val="0"/>
    </w:pPr>
    <w:rPr>
      <w:rFonts w:ascii="Cambria" w:hAnsi="Cambria" w:eastAsia="Times New Roman" w:cs="Times New Roman"/>
      <w:b/>
      <w:bCs/>
      <w:kern w:val="2"/>
      <w:sz w:val="32"/>
      <w:szCs w:val="32"/>
      <w:lang w:eastAsia="zh-CN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unhideWhenUsed/>
    <w:qFormat/>
    <w:uiPriority w:val="99"/>
    <w:rPr>
      <w:color w:val="0000FF"/>
      <w:u w:val="single"/>
    </w:rPr>
  </w:style>
  <w:style w:type="paragraph" w:styleId="6">
    <w:name w:val="caption"/>
    <w:basedOn w:val="1"/>
    <w:qFormat/>
    <w:uiPriority w:val="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7">
    <w:name w:val="Body Text"/>
    <w:basedOn w:val="1"/>
    <w:qFormat/>
    <w:uiPriority w:val="0"/>
    <w:pPr>
      <w:spacing w:before="0" w:after="140" w:line="276" w:lineRule="auto"/>
    </w:pPr>
  </w:style>
  <w:style w:type="paragraph" w:styleId="8">
    <w:name w:val="Body Text Indent"/>
    <w:basedOn w:val="1"/>
    <w:link w:val="13"/>
    <w:qFormat/>
    <w:uiPriority w:val="0"/>
    <w:pPr>
      <w:suppressAutoHyphens/>
      <w:spacing w:before="0" w:after="120" w:line="276" w:lineRule="auto"/>
      <w:ind w:left="283"/>
    </w:pPr>
    <w:rPr>
      <w:rFonts w:ascii="Calibri" w:hAnsi="Calibri" w:eastAsia="Times New Roman" w:cs="Calibri"/>
      <w:lang w:eastAsia="zh-CN"/>
    </w:rPr>
  </w:style>
  <w:style w:type="paragraph" w:styleId="9">
    <w:name w:val="List"/>
    <w:basedOn w:val="7"/>
    <w:qFormat/>
    <w:uiPriority w:val="0"/>
    <w:rPr>
      <w:rFonts w:cs="Arial"/>
    </w:rPr>
  </w:style>
  <w:style w:type="character" w:customStyle="1" w:styleId="10">
    <w:name w:val="Абзац списка Знак"/>
    <w:link w:val="11"/>
    <w:qFormat/>
    <w:locked/>
    <w:uiPriority w:val="34"/>
    <w:rPr>
      <w:rFonts w:ascii="Calibri" w:hAnsi="Calibri" w:eastAsia="Times New Roman" w:cs="Times New Roman"/>
    </w:rPr>
  </w:style>
  <w:style w:type="paragraph" w:styleId="11">
    <w:name w:val="List Paragraph"/>
    <w:basedOn w:val="1"/>
    <w:link w:val="10"/>
    <w:qFormat/>
    <w:uiPriority w:val="34"/>
    <w:pPr>
      <w:spacing w:before="0" w:after="200" w:line="276" w:lineRule="auto"/>
      <w:ind w:left="720"/>
      <w:contextualSpacing/>
    </w:pPr>
    <w:rPr>
      <w:rFonts w:ascii="Calibri" w:hAnsi="Calibri" w:eastAsia="Times New Roman" w:cs="Times New Roman"/>
    </w:rPr>
  </w:style>
  <w:style w:type="character" w:customStyle="1" w:styleId="12">
    <w:name w:val="Заголовок 1 Знак"/>
    <w:basedOn w:val="3"/>
    <w:qFormat/>
    <w:uiPriority w:val="0"/>
    <w:rPr>
      <w:rFonts w:ascii="Cambria" w:hAnsi="Cambria" w:eastAsia="Times New Roman" w:cs="Times New Roman"/>
      <w:b/>
      <w:bCs/>
      <w:kern w:val="2"/>
      <w:sz w:val="32"/>
      <w:szCs w:val="32"/>
      <w:lang w:eastAsia="zh-CN"/>
    </w:rPr>
  </w:style>
  <w:style w:type="character" w:customStyle="1" w:styleId="13">
    <w:name w:val="Основной текст с отступом Знак"/>
    <w:basedOn w:val="3"/>
    <w:link w:val="8"/>
    <w:qFormat/>
    <w:uiPriority w:val="0"/>
    <w:rPr>
      <w:rFonts w:ascii="Calibri" w:hAnsi="Calibri" w:eastAsia="Times New Roman" w:cs="Calibri"/>
      <w:lang w:eastAsia="zh-CN"/>
    </w:rPr>
  </w:style>
  <w:style w:type="character" w:customStyle="1" w:styleId="14">
    <w:name w:val="Основной текст_"/>
    <w:basedOn w:val="3"/>
    <w:link w:val="15"/>
    <w:qFormat/>
    <w:uiPriority w:val="0"/>
    <w:rPr>
      <w:rFonts w:ascii="Times New Roman" w:hAnsi="Times New Roman" w:eastAsia="Times New Roman" w:cs="Times New Roman"/>
      <w:sz w:val="26"/>
      <w:szCs w:val="26"/>
      <w:shd w:val="clear" w:fill="FFFFFF"/>
    </w:rPr>
  </w:style>
  <w:style w:type="paragraph" w:customStyle="1" w:styleId="15">
    <w:name w:val="Основной текст1"/>
    <w:basedOn w:val="1"/>
    <w:link w:val="14"/>
    <w:qFormat/>
    <w:uiPriority w:val="0"/>
    <w:pPr>
      <w:widowControl w:val="0"/>
      <w:shd w:val="clear" w:color="auto" w:fill="FFFFFF"/>
      <w:spacing w:before="0" w:after="0" w:line="300" w:lineRule="auto"/>
      <w:ind w:firstLine="400"/>
      <w:jc w:val="both"/>
    </w:pPr>
    <w:rPr>
      <w:rFonts w:ascii="Times New Roman" w:hAnsi="Times New Roman" w:eastAsia="Times New Roman" w:cs="Times New Roman"/>
      <w:sz w:val="26"/>
      <w:szCs w:val="26"/>
    </w:rPr>
  </w:style>
  <w:style w:type="paragraph" w:customStyle="1" w:styleId="16">
    <w:name w:val="Заголовок"/>
    <w:basedOn w:val="1"/>
    <w:next w:val="7"/>
    <w:qFormat/>
    <w:uiPriority w:val="0"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customStyle="1" w:styleId="17">
    <w:name w:val="Указатель1"/>
    <w:basedOn w:val="1"/>
    <w:qFormat/>
    <w:uiPriority w:val="0"/>
    <w:pPr>
      <w:suppressLineNumbers/>
    </w:pPr>
    <w:rPr>
      <w:rFonts w:cs="Arial"/>
    </w:rPr>
  </w:style>
  <w:style w:type="paragraph" w:customStyle="1" w:styleId="18">
    <w:name w:val="ConsPlusNonformat"/>
    <w:qFormat/>
    <w:uiPriority w:val="0"/>
    <w:pPr>
      <w:widowControl w:val="0"/>
      <w:suppressAutoHyphens/>
      <w:bidi w:val="0"/>
      <w:spacing w:before="0" w:after="0" w:line="240" w:lineRule="auto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zh-CN" w:bidi="ar-SA"/>
    </w:rPr>
  </w:style>
  <w:style w:type="paragraph" w:customStyle="1" w:styleId="19">
    <w:name w:val="ConsPlusNormal"/>
    <w:qFormat/>
    <w:uiPriority w:val="0"/>
    <w:pPr>
      <w:widowControl w:val="0"/>
      <w:suppressAutoHyphens/>
      <w:bidi w:val="0"/>
      <w:spacing w:before="0" w:after="0" w:line="240" w:lineRule="auto"/>
      <w:jc w:val="left"/>
    </w:pPr>
    <w:rPr>
      <w:rFonts w:ascii="Times New Roman" w:hAnsi="Times New Roman" w:cs="Times New Roman" w:eastAsiaTheme="minorEastAsia"/>
      <w:color w:val="auto"/>
      <w:kern w:val="0"/>
      <w:sz w:val="24"/>
      <w:szCs w:val="24"/>
      <w:lang w:val="ru-RU" w:eastAsia="ru-RU" w:bidi="ar-SA"/>
    </w:rPr>
  </w:style>
  <w:style w:type="paragraph" w:styleId="20">
    <w:name w:val="No Spacing"/>
    <w:qFormat/>
    <w:uiPriority w:val="1"/>
    <w:pPr>
      <w:widowControl/>
      <w:suppressAutoHyphens/>
      <w:bidi w:val="0"/>
      <w:spacing w:before="0" w:after="0" w:line="240" w:lineRule="auto"/>
      <w:ind w:firstLine="709"/>
      <w:jc w:val="left"/>
    </w:pPr>
    <w:rPr>
      <w:rFonts w:ascii="Times New Roman" w:hAnsi="Times New Roman" w:cs="Calibri" w:eastAsiaTheme="minorHAnsi"/>
      <w:color w:val="auto"/>
      <w:kern w:val="0"/>
      <w:sz w:val="28"/>
      <w:szCs w:val="22"/>
      <w:lang w:val="ru-RU" w:eastAsia="en-US" w:bidi="ar-SA"/>
    </w:rPr>
  </w:style>
  <w:style w:type="paragraph" w:customStyle="1" w:styleId="21">
    <w:name w:val="Содержимое врезки"/>
    <w:basedOn w:val="1"/>
    <w:qFormat/>
    <w:uiPriority w:val="0"/>
  </w:style>
  <w:style w:type="paragraph" w:customStyle="1" w:styleId="22">
    <w:name w:val="Содержимое таблицы"/>
    <w:basedOn w:val="1"/>
    <w:qFormat/>
    <w:uiPriority w:val="0"/>
    <w:pPr>
      <w:widowControl w:val="0"/>
      <w:suppressLineNumbers/>
    </w:pPr>
  </w:style>
  <w:style w:type="paragraph" w:customStyle="1" w:styleId="23">
    <w:name w:val="Заголовок таблицы"/>
    <w:basedOn w:val="22"/>
    <w:qFormat/>
    <w:uiPriority w:val="0"/>
    <w:pPr>
      <w:suppressLineNumbers/>
      <w:jc w:val="center"/>
    </w:pPr>
    <w:rPr>
      <w:b/>
      <w:bCs/>
    </w:rPr>
  </w:style>
  <w:style w:type="paragraph" w:customStyle="1" w:styleId="24">
    <w:name w:val="Без интервала"/>
    <w:qFormat/>
    <w:uiPriority w:val="0"/>
    <w:pPr>
      <w:widowControl/>
      <w:suppressAutoHyphens/>
      <w:bidi w:val="0"/>
      <w:spacing w:before="0" w:after="0"/>
      <w:jc w:val="left"/>
    </w:pPr>
    <w:rPr>
      <w:rFonts w:ascii="Calibri" w:hAnsi="Calibri" w:eastAsia="Calibri" w:cs="Calibri"/>
      <w:color w:val="auto"/>
      <w:kern w:val="0"/>
      <w:sz w:val="22"/>
      <w:szCs w:val="22"/>
      <w:lang w:val="ru-RU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317</Words>
  <Characters>2404</Characters>
  <Paragraphs>26</Paragraphs>
  <TotalTime>56</TotalTime>
  <ScaleCrop>false</ScaleCrop>
  <LinksUpToDate>false</LinksUpToDate>
  <CharactersWithSpaces>3117</CharactersWithSpaces>
  <Application>WPS Office_12.2.0.22549_F1E327BC-269C-435d-A152-05C5408002CA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2022-12-19T07:52:00Z</dcterms:created>
  <dc:creator>Лукшина Екатерина Александровна</dc:creator>
  <cp:lastModifiedBy>user</cp:lastModifiedBy>
  <cp:lastPrinted>2025-09-18T11:20:00Z</cp:lastPrinted>
  <dcterms:modified xsi:type="dcterms:W3CDTF">2025-09-18T12:13:29Z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1049-12.2.0.22549</vt:lpwstr>
  </property>
  <property fmtid="{D5CDD505-2E9C-101B-9397-08002B2CF9AE}" pid="3" name="ICV">
    <vt:lpwstr>E70B0EB3866D4A07AF67987245B3B90C_13</vt:lpwstr>
  </property>
</Properties>
</file>