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2902"/>
        <w:gridCol w:w="2051"/>
        <w:gridCol w:w="4969"/>
      </w:tblGrid>
      <w:tr>
        <w:trPr>
          <w:trHeight w:val="1304" w:hRule="atLeast"/>
        </w:trPr>
        <w:tc>
          <w:tcPr>
            <w:tcW w:w="2902" w:type="dxa"/>
            <w:tcBorders/>
          </w:tcPr>
          <w:p>
            <w:pPr>
              <w:pStyle w:val="Style21"/>
              <w:pageBreakBefore/>
              <w:widowControl w:val="false"/>
              <w:spacing w:lineRule="auto" w:line="276" w:before="0" w:after="0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051" w:type="dxa"/>
            <w:tcBorders/>
            <w:tcMar>
              <w:left w:w="10" w:type="dxa"/>
              <w:right w:w="10" w:type="dxa"/>
            </w:tcMar>
          </w:tcPr>
          <w:p>
            <w:pPr>
              <w:pStyle w:val="Normal"/>
              <w:widowControl w:val="false"/>
              <w:tabs>
                <w:tab w:val="clear" w:pos="709"/>
                <w:tab w:val="left" w:pos="565" w:leader="none"/>
              </w:tabs>
              <w:spacing w:lineRule="auto" w:line="276" w:before="0" w:after="0"/>
              <w:ind w:left="0" w:hanging="0"/>
              <w:jc w:val="center"/>
              <w:textAlignment w:val="baseline"/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pPr>
            <w:r>
              <w:rPr>
                <w:rFonts w:eastAsia="Andale Sans UI"/>
                <w:sz w:val="28"/>
                <w:szCs w:val="28"/>
                <w:shd w:fill="FFFFFF" w:val="clear"/>
                <w:lang w:val="de-DE" w:eastAsia="ja-JP" w:bidi="fa-IR"/>
              </w:rPr>
            </w:r>
          </w:p>
        </w:tc>
        <w:tc>
          <w:tcPr>
            <w:tcW w:w="4969" w:type="dxa"/>
            <w:tcBorders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 xml:space="preserve">постановлением Администрации городcкого округа Фрязино 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/>
            </w:pPr>
            <w:r>
              <w:rPr>
                <w:rStyle w:val="21"/>
                <w:rFonts w:cs="Lucida Sans"/>
                <w:b w:val="false"/>
                <w:sz w:val="28"/>
                <w:szCs w:val="28"/>
                <w:lang w:eastAsia="en-US" w:bidi="ar-SA"/>
              </w:rPr>
              <w:t>от 23.07.2025 № 677</w:t>
            </w:r>
          </w:p>
          <w:p>
            <w:pPr>
              <w:pStyle w:val="Normal"/>
              <w:widowControl w:val="false"/>
              <w:spacing w:lineRule="auto" w:line="276" w:before="0" w:after="0"/>
              <w:ind w:left="0" w:hanging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>
      <w:pPr>
        <w:pStyle w:val="Normal"/>
        <w:spacing w:lineRule="auto" w:line="276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6"/>
        <w:spacing w:lineRule="auto" w:line="276"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Административный регламент предоставления</w:t>
      </w:r>
    </w:p>
    <w:p>
      <w:pPr>
        <w:pStyle w:val="Style16"/>
        <w:spacing w:lineRule="auto" w:line="276" w:before="0" w:after="0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«Установление публичного сервитута в порядке Главы V.7. Земельного кодекса Российской Федерации»</w:t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  <w:lang w:val="en-US"/>
        </w:rPr>
        <w:t>I</w:t>
      </w:r>
      <w:r>
        <w:rPr>
          <w:b w:val="false"/>
          <w:bCs w:val="false"/>
          <w:sz w:val="28"/>
          <w:szCs w:val="28"/>
        </w:rPr>
        <w:t>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Общие положения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false"/>
          <w:bCs w:val="false"/>
          <w:sz w:val="28"/>
          <w:szCs w:val="28"/>
        </w:rPr>
        <w:t>1.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Предмет регулирования административного регламента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134" w:right="850" w:gutter="0" w:header="1134" w:top="1739" w:footer="0" w:bottom="1134"/>
          <w:pgNumType w:fmt="decimal"/>
          <w:formProt w:val="false"/>
          <w:titlePg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1"/>
          <w:b w:val="false"/>
          <w:sz w:val="28"/>
          <w:szCs w:val="28"/>
          <w:lang w:eastAsia="en-US" w:bidi="ar-SA"/>
        </w:rPr>
        <w:t xml:space="preserve">административный регламент предоставления муниципальной услуги «Установление публичного сервитута в порядке Главы V.7. Земельного кодекса Российской Федерации» (далее – Регламент, Услуга) </w:t>
      </w:r>
      <w:r>
        <w:rPr>
          <w:sz w:val="28"/>
          <w:szCs w:val="28"/>
        </w:rPr>
        <w:t>регулирует отношения, возникающие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 город</w:t>
      </w:r>
      <w:r>
        <w:rPr>
          <w:rStyle w:val="21"/>
          <w:b w:val="false"/>
          <w:sz w:val="28"/>
          <w:szCs w:val="28"/>
          <w:lang w:val="en-US" w:eastAsia="en-US" w:bidi="ar-SA"/>
        </w:rPr>
        <w:t>c</w:t>
      </w:r>
      <w:r>
        <w:rPr>
          <w:rStyle w:val="21"/>
          <w:b w:val="false"/>
          <w:sz w:val="28"/>
          <w:szCs w:val="28"/>
          <w:lang w:eastAsia="en-US" w:bidi="ar-SA"/>
        </w:rPr>
        <w:t>кого округа Фрязино Московской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области</w:t>
      </w:r>
      <w:r>
        <w:rPr>
          <w:sz w:val="28"/>
          <w:szCs w:val="28"/>
        </w:rPr>
        <w:t xml:space="preserve"> (далее –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– Государственная 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«Интернет» (далее – сеть Интернет) по адресу: www.gosuslugi.ru.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информационно-технологическое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1.2.4. Личный кабинет – сервис РПГУ, позволяющий заявителю получать информацию о ходе обработки запросов, поданных посредством 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МФЦ – многофункциональный центр предоставления государственных и муниципальных услуг в 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Учредитель МФЦ – орган местного самоуправления муниципального образования Московской области, являющийся учредителем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Администрация</w:t>
      </w:r>
      <w:r>
        <w:rPr>
          <w:rStyle w:val="21"/>
          <w:rFonts w:cs="Tahoma"/>
          <w:b w:val="false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(далее –запрос)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" w:name="_Toc125717090"/>
      <w:bookmarkEnd w:id="1"/>
      <w:r>
        <w:rPr>
          <w:b w:val="false"/>
          <w:bCs w:val="false"/>
          <w:sz w:val="28"/>
          <w:szCs w:val="28"/>
        </w:rPr>
        <w:t>2.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Круг заявителей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юридическим лицам либо их уполномоченным представителям, обратившимся в</w:t>
      </w:r>
      <w:r>
        <w:rPr>
          <w:rStyle w:val="21"/>
          <w:b w:val="false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 – вариант, профилирование),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2" w:name="_Toc125717091"/>
      <w:bookmarkEnd w:id="2"/>
      <w:r>
        <w:rPr>
          <w:b w:val="false"/>
          <w:bCs w:val="false"/>
          <w:color w:val="auto"/>
          <w:sz w:val="28"/>
          <w:szCs w:val="28"/>
          <w:lang w:val="en-US"/>
        </w:rPr>
        <w:t>II</w:t>
      </w:r>
      <w:r>
        <w:rPr>
          <w:b w:val="false"/>
          <w:bCs w:val="false"/>
          <w:sz w:val="28"/>
          <w:szCs w:val="28"/>
        </w:rPr>
        <w:t>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Стандарт предоставления Услуги</w:t>
      </w:r>
      <w:bookmarkStart w:id="3" w:name="_Toc125717092"/>
      <w:bookmarkEnd w:id="3"/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3.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Наименование Услуги</w:t>
      </w:r>
    </w:p>
    <w:p>
      <w:pPr>
        <w:pStyle w:val="Style17"/>
        <w:rPr/>
      </w:pPr>
      <w:r>
        <w:rPr/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«Установление публичного сервитута в порядке Главы V.7. Земельного кодекса Российской Федерации».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4.1. Органом местного самоуправления муниципального образования Московской области, ответственным за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предоставление Услуги, является Администрация.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4.2. Непосредственное предоставление Услуги осуществляет структурное подразделение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Отдел земельных отношений администрации городского округа Фрязино.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4" w:name="_Toc125717094"/>
      <w:bookmarkEnd w:id="4"/>
      <w:r>
        <w:rPr>
          <w:b w:val="false"/>
          <w:bCs w:val="false"/>
          <w:sz w:val="28"/>
          <w:szCs w:val="28"/>
        </w:rPr>
        <w:t>5. Результат 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 предоставлении Услуги в 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>
      <w:pPr>
        <w:pStyle w:val="Style17"/>
        <w:spacing w:before="0"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5.2.2.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5.2.3.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hanging="0"/>
        <w:rPr>
          <w:strike/>
          <w:sz w:val="28"/>
          <w:szCs w:val="28"/>
          <w:shd w:fill="FF00FF" w:val="clear"/>
        </w:rPr>
      </w:pPr>
      <w:r>
        <w:rPr>
          <w:strike/>
          <w:sz w:val="28"/>
          <w:szCs w:val="28"/>
          <w:shd w:fill="FF00FF" w:val="clear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5" w:name="_Toc125717095"/>
      <w:bookmarkEnd w:id="5"/>
      <w:r>
        <w:rPr>
          <w:b w:val="false"/>
          <w:bCs w:val="false"/>
          <w:sz w:val="28"/>
          <w:szCs w:val="28"/>
        </w:rPr>
        <w:t>6.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Срок 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6" w:name="_Toc125717096"/>
      <w:bookmarkEnd w:id="6"/>
      <w:r>
        <w:rPr>
          <w:b w:val="false"/>
          <w:bCs w:val="false"/>
          <w:sz w:val="28"/>
          <w:szCs w:val="28"/>
        </w:rPr>
        <w:t>7.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Правовые основания для</w:t>
      </w:r>
      <w:r>
        <w:rPr>
          <w:rStyle w:val="21"/>
          <w:b/>
          <w:bCs w:val="false"/>
          <w:sz w:val="28"/>
          <w:szCs w:val="28"/>
          <w:lang w:eastAsia="en-US" w:bidi="ar-SA"/>
        </w:rPr>
        <w:t> </w:t>
      </w:r>
      <w:r>
        <w:rPr>
          <w:b w:val="false"/>
          <w:bCs w:val="false"/>
          <w:sz w:val="28"/>
          <w:szCs w:val="28"/>
        </w:rPr>
        <w:t>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  <w:lang w:eastAsia="ru-RU"/>
        </w:rPr>
        <w:t>7.1.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>, МФЦ, а также их должностных лиц, работников  размещены на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1"/>
          <w:b w:val="false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1"/>
          <w:b w:val="false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7" w:name="_Toc125717097"/>
      <w:bookmarkEnd w:id="7"/>
      <w:r>
        <w:rPr>
          <w:b w:val="false"/>
          <w:bCs w:val="false"/>
          <w:sz w:val="28"/>
          <w:szCs w:val="28"/>
        </w:rPr>
        <w:t>8. Исчерпывающий перечень документов, необходимых для предоставления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8" w:name="_Toc125717098"/>
      <w:bookmarkEnd w:id="8"/>
      <w:r>
        <w:rPr>
          <w:b w:val="false"/>
          <w:bCs w:val="false"/>
          <w:sz w:val="28"/>
          <w:szCs w:val="28"/>
        </w:rPr>
        <w:t>9. Исчерпывающий перечень оснований для отказа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в приеме документов, необходимых для 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 Решение об отказе в приеме документов, необходимых для предоставления Услуги, оформляется в соответствии с Приложением 4 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9" w:name="_Toc125717099_Копия_1"/>
      <w:bookmarkEnd w:id="9"/>
      <w:r>
        <w:rPr>
          <w:b w:val="false"/>
          <w:bCs w:val="false"/>
          <w:sz w:val="28"/>
          <w:szCs w:val="28"/>
        </w:rPr>
        <w:t>10. Исчерпывающий перечень оснований для приостановления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предоставления Услуги или отказа в предоставлении Услуги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Администрацию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0" w:name="_Toc125717100"/>
      <w:bookmarkEnd w:id="10"/>
      <w:r>
        <w:rPr>
          <w:b w:val="false"/>
          <w:bCs w:val="false"/>
          <w:sz w:val="28"/>
          <w:szCs w:val="28"/>
        </w:rPr>
        <w:t>11. Размер платы, взимаемой с заявителя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при предоставлении Услуги, и способы ее взимания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11.1. Услуга предоставляется бесплатно.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1" w:name="_Toc125717101"/>
      <w:bookmarkEnd w:id="11"/>
      <w:r>
        <w:rPr>
          <w:b w:val="false"/>
          <w:bCs w:val="false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 (одиннадцать) минут.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2" w:name="_Toc125717102"/>
      <w:bookmarkEnd w:id="12"/>
      <w:r>
        <w:rPr>
          <w:b w:val="false"/>
          <w:bCs w:val="false"/>
          <w:sz w:val="28"/>
          <w:szCs w:val="28"/>
        </w:rPr>
        <w:t>13. Срок регистрации запроса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Администрации в случае, если он подан: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следующий рабочий день;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день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3" w:name="_Toc125717103"/>
      <w:bookmarkEnd w:id="13"/>
      <w:r>
        <w:rPr>
          <w:b w:val="false"/>
          <w:bCs w:val="false"/>
          <w:sz w:val="28"/>
          <w:szCs w:val="28"/>
        </w:rPr>
        <w:t>14. Требования к помещениям, в которых предоставляются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от 22.10.2009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4" w:name="_Toc125717104"/>
      <w:bookmarkEnd w:id="14"/>
      <w:r>
        <w:rPr>
          <w:b w:val="false"/>
          <w:bCs w:val="false"/>
          <w:sz w:val="28"/>
          <w:szCs w:val="28"/>
        </w:rPr>
        <w:t>15. Показатели качества и доступности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 (для юридических лиц).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 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 № 210-ФЗ.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 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6" w:name="_Toc125717106"/>
      <w:bookmarkEnd w:id="16"/>
      <w:r>
        <w:rPr>
          <w:b w:val="false"/>
          <w:bCs w:val="false"/>
          <w:sz w:val="28"/>
          <w:szCs w:val="28"/>
          <w:lang w:val="en-US"/>
        </w:rPr>
        <w:t>III</w:t>
      </w:r>
      <w:r>
        <w:rPr>
          <w:b w:val="false"/>
          <w:bCs w:val="false"/>
          <w:sz w:val="28"/>
          <w:szCs w:val="28"/>
        </w:rPr>
        <w:t>. Состав, последовательность</w:t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сроки выполнения административных процедур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>
      <w:pPr>
        <w:pStyle w:val="2"/>
        <w:spacing w:lineRule="auto" w:line="276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17.1. Перечень вариантов: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субъекты естественных монополий – в случаях установления публичного сервитута для размещения, капитального ремонта инженерных сооружений, обеспечивающих деятельность этого субъекта, реконструкции, капитального ремонта их участков (частей), а также для проведения инженерных изысканий в целях подготовки документации по планировке территории, предусматривающей размещение указанных сооружений, инженерных изысканий для их строительства, реконструкции, реконструкции их участков (частей),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 связи – для размещения линий или сооружений связи, указанных в подпункте 1 статьи 39.37 Земельного кодекса Российской Федерации, а также для проведения инженерных изысканий в целях подготовки документации по планировке территории, предусматривающей размещение указанных линий и сооружений связи, инженерных изысканий для их строительства, реконструкции,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предусмотренные пунктом 1 статьи 56.4 Земельного Кодекса Российской Федерации и подавшие ходатайство об изъятии земельных участков для муниципальных нужд, – в случае установления сервитута в целях реконструкции инженерного сооружения, которое переносится в связи с изъятием такого земельного участка для муниципальных нужд, реконструкции его участка (части),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единым оператором газификации, региональным оператором газификации, – в случае установления публичного сервитута для строительства, реконструкции, капитального ремонта и (или) эксплуатации линейных объектов систем газоснабжения, реконструкции или капитального ремонта их частей,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осуществляющие реконструкцию или капитальный ремонт инженерного сооружения, являющегося линейным объектом, реконструкцию, капитальный ремонт его участков (частей) в связи с планируемыми строительством, реконструкцией или капитальным ремонтом объектов капитального строительства,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иное юридическое лицо, уполномоченное в соответствии с нормативными правовыми актами Российской Федерации, нормативными правовыми актами Московской области, заключенными с органами государственной власти или органами местного самоуправления договорами или соглашениями осуществлять деятельность, для обеспечения которой допускается установление публичного сервитута,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проведения инженерных изысканий в целях подготовки документации по планировке территории, предусматривающей размещение линейных объектов местного значения, проведение инженерных изысканий для строительства, реконструкции указанных объектов, а также сооружений: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реконструкции участков (частей) инженерных сооружений, являющихся линейными объектами,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капитального ремонта участков (частей) инженерных сооружений, являющихся линейными объектами,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складирования строительных и иных материалов, возведения некапитальных строений, сооружений (включая ограждения, бытовки, навесы) и (или) размещения строительной техники, которые необходимы для обеспечения строительства, реконструкции, ремонта инженерных сооружений местного значения, на срок указанных строительства, реконструкции, ремонта,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являющиеся владельцами инженерных сооружений местного значения, в случае установления публичного сервитута для прокладки, переустройства, переноса инженерных коммуникаций местного значения, их эксплуатации в границах полос отвода и придорожных полос автомобильных дорог,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 сооружений связи, линейных объектов системы газоснабжения, нефтепроводов и нефтепродуктопроводов, их неотъемлемых технологических частей, если указанные объекты являются объектами местного значения, либо необходимы для оказания услуг связи, для организации электро-, газо-, тепло-, водоснабжения населения и водоотведения, подключения (технологического присоединения) к сетям инженерно-технического обеспечения, либо переносятся в связи с изъятием земельных участков, на которых они ранее располагались, для муниципальных нужд (далее – инженерные сооружения),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до 01.09.2018,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переоформления права постоянного (бессрочного) пользования земельным участком, права аренды земельного участка юридическим лицом, имеющим на праве собственности, праве оперативного управления или праве хозяйственного ведения сооружения местного значения, которые в соответствии с Земельным кодексом Российской Федерации могут размещаться на земельных участках и (или) землях на основании публичного сервитута, при условии, что право собственности, право оперативного управления или право хозяйственного ведения на указанные сооружения возникло в порядке, установленном законодательством Российской Федерации, с 01.09.2018,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оформления публичного сервитута до 01.01.2027 юридическим лицом, право собственности, право хозяйственного ведения или право оперативного управления которого на инженерные сооружения местного значения, которые в соответствии с Земельным кодексом Российской Федерации могут размещаться на земельном участке и (или) землях на основании публичного сервитута, возникло в порядке, установленном законодательством Российской Федерации, до 01.09.2018 и у которых отсутствуют права на земельный участок, на котором находятся такие сооружения (в соответствии со статьей 3.6 Федерального закона от 25.10.2001 № 137-ФЗ «О введении в действие Земельного кодекса Российской Федерации»),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tabs>
          <w:tab w:val="clear" w:pos="709"/>
          <w:tab w:val="left" w:pos="645" w:leader="none"/>
        </w:tabs>
        <w:spacing w:lineRule="auto" w:line="276"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Установление публичного сервитута в порядке Главы V.7. Земельного кодекса Российской Федерации.</w:t>
      </w:r>
    </w:p>
    <w:p>
      <w:pPr>
        <w:pStyle w:val="Style17"/>
        <w:tabs>
          <w:tab w:val="clear" w:pos="709"/>
          <w:tab w:val="left" w:pos="645" w:leader="none"/>
        </w:tabs>
        <w:spacing w:before="0"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для оформления публичного сервитута до 01.01.2027 субъектом естественной монополии для эксплуатации используемого им линейного объекта местного значения в сфере деятельности субъекта естественной монополии или оператором связи для эксплуатации линии связи местного значения, в отношении которых у таких субъекта или оператора связи отсутствуют права, предусмотренные законодательством Российской Федерации, и которые эксплуатируются для организации электро-, газо-, тепло-, водоснабжения населения, водоотведения и оказания населению услуг связи, при этом такие линейные объекты созданы до 30.12.2004 (в соответствии со статьей 3.9 Федерального закона от 25.10.2001 № 137-ФЗ «О введении в действие Земельного кодекса Российской Федерации»), включая их уполномоченных представителей.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 документах.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1"/>
          <w:b w:val="false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документы.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5 (пяти)  рабочих дней со дня регистрации заявления о необходимости исправления опечаток и ошибок.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5 (пяти) рабочих дней со дня регистрации такого заявления.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Администрацию лично) при личном обращении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почте в срок, не превышающий 5 (пяти) рабочих дней со дня обнаружения таких опечаток и ошибок.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17" w:name="_Toc125717108"/>
      <w:bookmarkEnd w:id="17"/>
      <w:r>
        <w:rPr>
          <w:b w:val="false"/>
          <w:bCs w:val="false"/>
          <w:sz w:val="28"/>
          <w:szCs w:val="28"/>
        </w:rPr>
        <w:t>18. Описание административной процедуры профилирования заявителя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19.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Описание вариантов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вариантов 1, 2, 3, 4, 6, 7, 8, 15, 16, </w:t>
      </w:r>
      <w:bookmarkStart w:id="18" w:name="__DdeLink__6048_2857491986"/>
      <w:bookmarkEnd w:id="18"/>
      <w:r>
        <w:rPr>
          <w:sz w:val="28"/>
          <w:szCs w:val="28"/>
        </w:rPr>
        <w:t>указанных в подпунктах 17.1.1 ‒ 17.1.4, 17.1.6 ‒ 17.1.8, 17.1.15, 17.1.16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19.1.2. Срок предоставления Услуги составляет 30 (тридцать)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19.1.3.3.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19.1.3.4.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19.1.3.5.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оповещение правообладателей о возможном установлении публичного сервитута;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19.1.3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19.1.4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19.1.5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менее 15 (пятнадцати)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ст. 39.42 Земельного кодекса Российской Федерации: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взимания платы путем 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информационно-телекоммуникационной сети Интернет;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счет средств заявителя путем опубликования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межселенной территории);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границах соответствующего муниципального образования;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ЕГРН.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19.1.7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5, </w:t>
      </w:r>
      <w:bookmarkStart w:id="20" w:name="__DdeLink__6048_2857491986_Copy_1"/>
      <w:bookmarkEnd w:id="20"/>
      <w:r>
        <w:rPr>
          <w:sz w:val="28"/>
          <w:szCs w:val="28"/>
        </w:rPr>
        <w:t>указанного в подпункте 17.1.5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19.2.2. Срок предоставления Услуги составляет 30 (тридцать)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21" w:name="_anchor_96_Копия_1_Copy_1"/>
      <w:bookmarkEnd w:id="21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19.2.3.3.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19.2.3.4.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19.2.3.5.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19.2.3.6. Договор,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которого осуществляются реконструкция, капитальный ремонт линейных объектов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планируемыми строительством, реконструкцией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капитальным ремонтом объектов капитального строительства,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подано организацией, осуществляющей строительство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капитальный ремонт инженерного сооружения, являющегося линейным объектом, реконструкцию, капитальный ремонт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(частей)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планируемыми строительством, реконструкцией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капитальным ремонтом объектов капитального строительства.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оповещение правообладателей о возможном установлении публичного сервитута;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19.2.3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19.2.4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19.2.5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менее 15 (пятнадцати)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ст. 39.42 Земельного кодекса Российской Федерации: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взимания платы путем 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информационно-телекоммуникационной сети Интернет;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счет средств заявителя путем опубликования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межселенной территории);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границах соответствующего муниципального образования;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ЕГРН.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19.2.7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вариантов 9, 13, 14, </w:t>
      </w:r>
      <w:bookmarkStart w:id="22" w:name="__DdeLink__6048_2857491986_Copy_2"/>
      <w:bookmarkEnd w:id="22"/>
      <w:r>
        <w:rPr>
          <w:sz w:val="28"/>
          <w:szCs w:val="28"/>
        </w:rPr>
        <w:t>указанных в подпунктах 17.1.9, 17.1.13, 17.1.14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19.3.2. Срок предоставления Услуги составляет 15 (пятнадцать)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15 (пятнадцать) календарных дней со дня регистрации запроса в Администрации, в том числе в случае, если запрос подан заявителем</w:t>
      </w:r>
      <w:bookmarkStart w:id="23" w:name="_anchor_96_Копия_1_Copy_2"/>
      <w:bookmarkEnd w:id="23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19.3.3.3.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19.3.3.4.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19.3.3.5.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19.3.3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19.3.4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19.3.5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19.3.7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5 (пяти)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10, </w:t>
      </w:r>
      <w:bookmarkStart w:id="24" w:name="__DdeLink__6048_2857491986_Copy_3"/>
      <w:bookmarkEnd w:id="24"/>
      <w:r>
        <w:rPr>
          <w:sz w:val="28"/>
          <w:szCs w:val="28"/>
        </w:rPr>
        <w:t>указанного в подпункте 17.1.10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19.4.2. Срок предоставления Услуги составляет 30 (тридцать)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25" w:name="_anchor_96_Копия_1_Copy_3"/>
      <w:bookmarkEnd w:id="25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19.4.3.3. Проект организации строительства, который является разделом проектной документации объекта капитального строительства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составе которого определяются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места временного складирования строительных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материалов, размещения строительной техники, возведения некапитальных строений, сооружений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строительства,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складирования строительных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материалов, возведения некапитальных строений, сооружений (включая ограждения, бытовки, навесы)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размещения строительной техники, которые необходимы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обеспечения строительства, реконструкции, ремонта инженерных сооружений местного значения,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указанных строительства, реконструкции, ремонта.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19.4.3.4.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19.4.3.5.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19.4.3.6.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П/0150;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оповещение правообладателей о возможном установлении публичного сервитута;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19.4.3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19.4.4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19.4.5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менее 15 (пятнадцать)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ст. 39.42 Земельного кодекса Российской Федерации: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взимания платы путем 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информационно-телекоммуникационной сети Интернет;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счет средств заявителя путем опубликования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межселенной территории);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границах соответствующего муниципального образования;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ЕГРН.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19.4.7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11, </w:t>
      </w:r>
      <w:bookmarkStart w:id="26" w:name="__DdeLink__6048_2857491986_Copy_4"/>
      <w:bookmarkEnd w:id="26"/>
      <w:r>
        <w:rPr>
          <w:sz w:val="28"/>
          <w:szCs w:val="28"/>
        </w:rPr>
        <w:t>указанного в подпункте 17.1.11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19.5.2. Срок предоставления Услуги составляет 30 (тридцать)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27" w:name="_anchor_96_Копия_1_Copy_4"/>
      <w:bookmarkEnd w:id="27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19.5.3.3. Договор: договор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прокладке, переустройстве, переносе инженерных коммуникаций,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прокладки, переустройства, переноса инженерных коммуникаций местного значения,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полос отвода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придорожных полос автомобильных дорог.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19.5.3.4.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19.5.3.5.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19.5.3.6.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оповещение правообладателей о возможном установлении публичного сервитута;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(один)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19.5.3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19.5.4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19.5.5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менее 15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ст. 39.42 Земельного кодекса Российской Федерации: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взимания платы путем 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информационно-телекоммуникационной сети Интернет;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счет средств заявителя путем опубликования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межселенной территории);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границах соответствующего муниципального образования;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ЕГРН.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19.5.7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Для варианта 12, </w:t>
      </w:r>
      <w:bookmarkStart w:id="28" w:name="__DdeLink__6048_2857491986_Copy_5"/>
      <w:bookmarkEnd w:id="28"/>
      <w:r>
        <w:rPr>
          <w:sz w:val="28"/>
          <w:szCs w:val="28"/>
        </w:rPr>
        <w:t>указанного в подпункте 17.1.12 пункта 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 Результатом предоставления Услуги является: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«Постановление об установлении публичного сервитута в порядке главы V.7 Земельного кодекса Российской Федерации», который оформляется в соответствии с Приложением 1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19.6.2. Срок предоставления Услуги составляет 30 (тридцать) календарных дней со дня поступления запроса в Администрацию.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30 (тридцать) календарных дней со дня регистрации запроса в Администрации, в том числе в случае, если запрос подан заявителем</w:t>
      </w:r>
      <w:bookmarkStart w:id="29" w:name="_anchor_96_Копия_1_Copy_5"/>
      <w:bookmarkEnd w:id="29"/>
      <w:r>
        <w:rPr>
          <w:sz w:val="28"/>
          <w:szCs w:val="28"/>
        </w:rPr>
        <w:t xml:space="preserve"> посредством РПГУ, личного обращения.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19.6.3.1. 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требованиями, установленными пунктами 1–3 статьи 39.41 Земельного кодекса Российской Федерации, 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Приложении 6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приказом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19.04.2022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П/0150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утверждении требований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ходатайства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сервитута, содержанию обоснования необходимости установления публичного сервитута».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заполняется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интерактивная форма;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доверенность;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19.6.3.3. Договор: договор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подключении (технологическом присоединении)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сетям инженерно-технического обеспечения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указанием сторон такого договора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сроков технологического присоединения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ходатайство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установлении публичного сервитута подано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размещения инженерного сооружения, необходимого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подключения (технологического присоединения) объекта капитального строительства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сетям инженерно-технического обеспечения.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19.6.3.4. 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территории,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которой устанавливается публичный сервитут, включающие графическое описание местоположения границ публичного сервитута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координат характерных точек этих границ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системе координат, установленной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ведения ЕГРН.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19.6.3.5. Документы, подтверждающие право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инженерное сооружение, если подан запрос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эксплуатации указанного сооружения, реконструкции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капитального ремонта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участков (части),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условии,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такое право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зарегистрировано.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19.6.3.6. Соглашение, заключенное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между заявителем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собственником линейного объекта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иного сооружения, расположенных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землях,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технических требованиях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условиях, подлежащих обязательному исполнению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реконструкции, капитальном ремонте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сносе указанного линейного объекта,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осуществление публичного сервитута повлечет необходимость реконструкции, капитального ремонта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сноса указанного линейного объекта.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электронный документ);</w:t>
      </w: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(об испрашиваемом земельном участке).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объекте недвижимости (о здании и (или) сооружении расположенном(ых) на испрашиваемом земельном участке, либо уведомление об отсутствии объектов).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 отказа в приеме документов, необходимых для предоставления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19.6.5.1. Запрос подан в орган исполнительной власти или орган местного самоуправления, не уполномоченные на установление публичного сервитута для целей, указанных в запросе.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19.6.5.2. К запросу не приложены документы, предусмотренные Регламентом.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19.6.5.3. Запрос и приложенные к нему документы не соответствуют требованиям, установленным пунктом 4 и 5 статьи 39.41 Земельного кодекса Российской Федерации, Приказом № П/0150.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19.6.5.4. Обращение за предоставлением иной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19.6.5.5.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19.6.5.6.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19.6.5.7.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19.6.5.8.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19.6.5.9.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19.6.5.10.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19.6.5.11.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Основания для приостановления предоставления Услуги отсутствуют.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 предоставлении Услуги: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запросе отсутствуют сведения, предусмотренные статьей 39.41 Земельного кодекса Российской Федерации, или содержащееся в запросе обоснование необходимости установления публичного сервитута не соответствует требованиям, установленным в соответствии с пунктами 2 и 3 статьи 39.41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соблюдены условия установления публичного сервитута, предусмотренные статьями 23 и 39.39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запрещено в соответствии с требованиями федеральных законов, технических регламентов и (или) иных нормативных правовых актов на определенных землях, территориях в определенных зонах, в границах которых предлагается установить публичный сервитут.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испрашивается публичный сервитут, а также вызванные указанной деятельностью ограничения прав на землю повлекут невозможность использования или существенное затруднение в использовании земельного участка и (или) расположенного на нем объекта недвижимого имущества в соответствии с их разрешенным использованием в течение более чем 3 (трех) месяцев в отношении земельных участков, предназначенных для жилищного строительства (в том числе индивидуального жилищного строительства), ведения личного подсобного хозяйства, гражданами садоводства или огородничества для собственных нужд, или 1 (одного) года в отношении иных земельных участков, в случае если такие земельные участки предоставлены гражданам или юридическим лицам.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 деятельности, для обеспечения которой подан запрос, повлечет необходимость реконструкции (переноса), сноса линейного объекта или иного сооружения, размещенных на земельном участке и (или) землях, указанных в запросе, и не предоставлено соглашение в письменной форме между заявителем и собственником данных линейного объекта, сооружения об условиях таких реконструкции (переноса), сноса.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Границы публичного сервитута не соответствуют предусмотренной документацией по планировке территории зоне размещения инженерного сооружения, за исключением случая установления публичного сервитута в целях капитального ремонта инженерных сооружений, являющихся линейными объектами, а также в целях капитального ремонта участков (частей) таких инженерных сооружений.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Установление публичного сервитута в границах, указанных в запросе, препятствует размещению иных объектов, предусмотренных утвержденным проектом планировки территории.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Публичный сервитут испрашивается в целях реконструкции инженерного сооружения, которое предполагалось перенести в связи с изъятием земельного участка для государственных или муниципальных нужд, и принято решение об отказе в удовлетворении ходатайства об изъятии такого земельного участка для государственных или муниципальных нужд.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Указанный в запросе земельный участок является изъятым из оборота в соответствии с пунктом 4 статьи 27 Земельного кодекса Российской Федерации.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Normal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19.6.7.14.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административных процедур (действий) предоставления Услуги: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прием запроса и документов и (или) информации, необходимых для предоставления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межведомственное информационное взаимодействие;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оповещение правообладателей о возможном установлении публичного сервитута;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принятие решения о предоставлении (об отказе в предоставлении) Услуги;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предоставление результата предоставления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1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Заполняется интерактивная форма запроса.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19.6.3 Регламента. Заявителем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19.6.4 Регламента. Запрос может быть подан заявителем (представителем заявителя) следующими способами: - посредством РПГУ; -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подписание запроса).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нахождения.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Администрацию лично,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(должностным лицом, муниципальным служащим, работником Администрации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необходимости). Должностное лицо,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предусмотренных подпунктом 19.6.5 Регламента.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наличии таких оснований должностное лицо,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позднее 30 (тридцати) минут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такие основания отсутствуют, должностное лицо, работник Администрации регистрируют запрос.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тот же календарный день.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земельный участок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земельного участка (земельных участков),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проверки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участке: кадастровой стоимости земельного участка, наличии зарегистрированных обременений, ограничений использования земельного участка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запрашивается выписка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объект недвижимости, расположенный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испрашиваемом земельном участке (либо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отсутствии объектов),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расположенном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земельном участке объекте недвижимости,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правообладателе объекта недвижимости, наличии зарегистрированных обременений, ограничений использования объекта недвижимости (арест, резервирование, изъятие, залог).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Управление Федеральной службы государственной регистрации, кадастра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картографии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налоговую службу.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указывается полное наименование, ИНН, ОГРН заявителя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запрашиваются сведения 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сведений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государственной регистрации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качестве юридического лица.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Федеральную налоговую службу;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данном запросе запрашиваются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информационной системы обеспечения градостроительной деятельности (для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определения возможности предоставления земельного участка).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момента регистрации запроса информационный запрос направляется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тот же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календарный день. Срок получения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информационный запрос 7 (семь) календарных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Комитет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архитектуре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градостроительству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7 (семь)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Должностным лицом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межведомственные информационные запросы.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Оповещение правообладателей о возможном установлении публичного сервитута.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не менее 15 (пятнадцати) календарных дней.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извещение правообладателей земельных участков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ст. 39.42 Земельного кодекса Российской Федерации: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а) без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взимания платы путем: 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официальном сайте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информационно-телекоммуникационной сети Интернет;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б)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счет средств заявителя путем опубликования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официального опубликования (обнародования) правовых актов поселения, городского округа,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месту нахождения земельного участка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земель,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 (муниципального района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земельный участок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земли расположены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межселенной территории);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которого расположены земельные участки,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такие земельные участки расположены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пределами границ населенного пункта,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информационном щите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границах соответствующего муниципального образования; 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размещения сообщения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возможном установлении публичного сервитута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общедоступных местах (на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досках объявлений, размещенных во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подъездах многоквартирного дома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пределах земельного участка,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расположен многоквартирный дом)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предлагается установить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относящегося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общему имуществу собственников помещений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многоквартирном доме.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положения подпунктов 1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пункта 3 статьи 39.42 Земельного кодекса Российской Федерации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применяются, если публичный сервитут испрашивается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земельного участка, указанного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4 пункта 3 статьи 39.42 Земельного кодекса Российской Федерации. Мероприятия, предусмотренные пунктами 3-8 статьи 39.42 Земельного кодекса Российской Федерации,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осуществляются, если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правообладателях земельных участков,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которых подан Запрос, представлены сведения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ЕГРН обо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всех правообладателях всех земельных участков, расположенных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границах устанавливаемого публичного сервитута. Указанное правило применяется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публичный сервитут устанавливается только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отношении земельных участков, сведения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которых содержатся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ЕГРН. 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3 (три)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Регламенту. Основания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подпункте 19.6.7 Регламента.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пяти календарных дней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принятия решения.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Модуль МФЦ ЕИС ОУ, РПГУ,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уведомляется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РПГУ. Заявитель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экземпляр электронного документа, подписанный усиленной квалифицированной электронной подписью уполномоченного должностного лица Администрации,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печатью МФЦ.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результата предоставления Услуги заявителю в Администрации лично.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Администрация, Модуль МФЦ ЕИС ОУ, ВИС.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  <w:br/>
        <w:t>2 (два) календарных дня.</w:t>
      </w:r>
    </w:p>
    <w:p>
      <w:pPr>
        <w:pStyle w:val="Style21"/>
        <w:spacing w:lineRule="auto" w:line="276"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сообщением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Администрации. Должностное лицо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Должностное лицо Администрации формирует расписку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 (одном) экземпляре, подписывает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Администрации).</w:t>
      </w:r>
      <w:bookmarkStart w:id="30" w:name="_anchor_96"/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1" w:name="_Toc125717110_Копия_1"/>
      <w:bookmarkStart w:id="32" w:name="Par372_Копия_1"/>
      <w:bookmarkEnd w:id="31"/>
      <w:bookmarkEnd w:id="32"/>
      <w:r>
        <w:rPr>
          <w:b w:val="false"/>
          <w:bCs w:val="false"/>
          <w:sz w:val="28"/>
          <w:szCs w:val="28"/>
          <w:lang w:val="en-US"/>
        </w:rPr>
        <w:t>IV</w:t>
      </w:r>
      <w:r>
        <w:rPr>
          <w:b w:val="false"/>
          <w:bCs w:val="false"/>
          <w:sz w:val="28"/>
          <w:szCs w:val="28"/>
        </w:rPr>
        <w:t>. Формы контроля за исполнением Регламента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уполномоченное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3" w:name="_Toc125717112"/>
      <w:bookmarkEnd w:id="33"/>
      <w:r>
        <w:rPr>
          <w:b w:val="false"/>
          <w:bCs w:val="false"/>
          <w:sz w:val="28"/>
          <w:szCs w:val="28"/>
        </w:rPr>
        <w:t>21. Порядок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периодичность осуществления плановых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внеплановых проверок полноты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качества предоставления Услуги, в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том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числе порядок и формы контроля за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полнотой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качеством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4" w:name="_Toc125717114"/>
      <w:bookmarkEnd w:id="34"/>
      <w:r>
        <w:rPr>
          <w:b w:val="false"/>
          <w:bCs w:val="false"/>
          <w:sz w:val="28"/>
          <w:szCs w:val="28"/>
        </w:rPr>
        <w:t>23. Положения, характеризующие требования к порядку и формам контроля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за предоставлением Услуги, в том числе со стороны граждан,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их объединений и организаций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предусмотренными подразделами 20-22 Регламента.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1"/>
          <w:b w:val="false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1"/>
          <w:b w:val="false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>
      <w:pPr>
        <w:pStyle w:val="1"/>
        <w:spacing w:lineRule="auto" w:line="276"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76" w:before="0" w:after="0"/>
        <w:ind w:left="0" w:firstLine="709"/>
        <w:jc w:val="center"/>
        <w:rPr>
          <w:sz w:val="28"/>
          <w:szCs w:val="28"/>
        </w:rPr>
      </w:pPr>
      <w:r>
        <w:rPr>
          <w:b w:val="false"/>
          <w:bCs w:val="false"/>
          <w:sz w:val="28"/>
          <w:szCs w:val="28"/>
          <w:lang w:val="en-US"/>
        </w:rPr>
        <w:t>V</w:t>
      </w:r>
      <w:r>
        <w:rPr>
          <w:b w:val="false"/>
          <w:bCs w:val="false"/>
          <w:sz w:val="28"/>
          <w:szCs w:val="28"/>
        </w:rPr>
        <w:t>. Досудебный (внесудебный) порядок обжалования решений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действий (бездействия) Администрации, МФЦ, а также</w:t>
      </w:r>
    </w:p>
    <w:p>
      <w:pPr>
        <w:pStyle w:val="1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их должностных лиц, работников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bookmarkStart w:id="35" w:name="_Toc125717116"/>
      <w:bookmarkEnd w:id="35"/>
      <w:r>
        <w:rPr>
          <w:b w:val="false"/>
          <w:bCs w:val="false"/>
          <w:sz w:val="28"/>
          <w:szCs w:val="28"/>
        </w:rPr>
        <w:t>24. Способы информирования заявителей</w:t>
      </w:r>
    </w:p>
    <w:p>
      <w:pPr>
        <w:pStyle w:val="2"/>
        <w:spacing w:lineRule="auto" w:line="276" w:before="0" w:after="0"/>
        <w:ind w:left="0" w:firstLine="709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о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порядке досудебного (внесудебного) обжалования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76" w:before="0" w:after="0"/>
        <w:ind w:left="0" w:firstLine="709"/>
        <w:jc w:val="center"/>
        <w:rPr>
          <w:sz w:val="28"/>
          <w:szCs w:val="28"/>
        </w:rPr>
      </w:pPr>
      <w:bookmarkStart w:id="36" w:name="_Toc125717117"/>
      <w:bookmarkEnd w:id="30"/>
      <w:bookmarkEnd w:id="36"/>
      <w:r>
        <w:rPr>
          <w:b w:val="false"/>
          <w:bCs w:val="false"/>
          <w:sz w:val="28"/>
          <w:szCs w:val="28"/>
        </w:rPr>
        <w:t>25. Формы и</w:t>
      </w:r>
      <w:r>
        <w:rPr>
          <w:b w:val="false"/>
          <w:bCs w:val="false"/>
          <w:sz w:val="28"/>
          <w:szCs w:val="28"/>
          <w:lang w:val="en-US"/>
        </w:rPr>
        <w:t> </w:t>
      </w:r>
      <w:r>
        <w:rPr>
          <w:b w:val="false"/>
          <w:bCs w:val="false"/>
          <w:sz w:val="28"/>
          <w:szCs w:val="28"/>
        </w:rPr>
        <w:t>способы подачи заявителями жалобы</w:t>
      </w:r>
    </w:p>
    <w:p>
      <w:pPr>
        <w:pStyle w:val="Style17"/>
        <w:spacing w:before="0"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действий (бездействия)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МФЦ</w:t>
      </w:r>
      <w:r>
        <w:rPr>
          <w:sz w:val="28"/>
          <w:szCs w:val="28"/>
        </w:rPr>
        <w:t>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 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08.08.2013 № 601/33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 их работников».</w:t>
      </w:r>
    </w:p>
    <w:p>
      <w:pPr>
        <w:sectPr>
          <w:type w:val="continuous"/>
          <w:pgSz w:w="11906" w:h="16838"/>
          <w:pgMar w:left="1134" w:right="850" w:gutter="0" w:header="1134" w:top="1739" w:footer="0" w:bottom="1134"/>
          <w:formProt w:val="false"/>
          <w:textDirection w:val="lrTb"/>
          <w:docGrid w:type="default" w:linePitch="312" w:charSpace="0"/>
        </w:sectPr>
      </w:pP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</w:t>
      </w:r>
      <w:r>
        <w:rPr>
          <w:rStyle w:val="21"/>
          <w:b w:val="false"/>
          <w:sz w:val="28"/>
          <w:szCs w:val="28"/>
          <w:lang w:eastAsia="en-US" w:bidi="ar-SA"/>
        </w:rPr>
        <w:t>МФЦ, Учредителю</w:t>
      </w:r>
      <w:r>
        <w:rPr>
          <w:rStyle w:val="21"/>
          <w:b w:val="false"/>
          <w:sz w:val="28"/>
          <w:szCs w:val="28"/>
          <w:lang w:val="en-US" w:eastAsia="en-US" w:bidi="ar-SA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Администрации, МФЦ, Учредителя МФЦ</w:t>
      </w:r>
      <w:r>
        <w:rPr>
          <w:sz w:val="28"/>
          <w:szCs w:val="28"/>
        </w:rPr>
        <w:t xml:space="preserve"> в сети Интернет.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Администрацией, МФЦ, Учредителем МФЦ</w:t>
      </w:r>
      <w:r>
        <w:rPr>
          <w:sz w:val="28"/>
          <w:szCs w:val="28"/>
        </w:rPr>
        <w:t>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1"/>
          <w:b w:val="false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1"/>
          <w:b w:val="false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>
      <w:pPr>
        <w:pStyle w:val="Style17"/>
        <w:spacing w:before="0" w:after="0"/>
        <w:ind w:left="0" w:firstLine="709"/>
        <w:rPr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>
      <w:pPr>
        <w:pStyle w:val="Style17"/>
        <w:spacing w:before="0"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sectPr>
      <w:type w:val="continuous"/>
      <w:pgSz w:w="11906" w:h="16838"/>
      <w:pgMar w:left="1134" w:right="850" w:gutter="0" w:header="1134" w:top="1739" w:footer="0" w:bottom="1134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cc"/>
    <w:family w:val="swiss"/>
    <w:pitch w:val="variable"/>
  </w:font>
  <w:font w:name="StarSymbol">
    <w:altName w:val="Arial Unicode MS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alibri Light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StarSymbol">
    <w:altName w:val="Arial Unicode MS"/>
    <w:charset w:val="01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7"/>
      <w:spacing w:before="0" w:after="5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90</w:t>
    </w:r>
    <w:r>
      <w:rPr>
        <w:sz w:val="28"/>
        <w:szCs w:val="28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spacing w:before="0" w:after="56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1532d"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1">
    <w:name w:val="Heading 1"/>
    <w:basedOn w:val="Style16"/>
    <w:next w:val="Style17"/>
    <w:qFormat/>
    <w:pPr>
      <w:ind w:left="0" w:hanging="0"/>
      <w:outlineLvl w:val="0"/>
    </w:pPr>
    <w:rPr>
      <w:rFonts w:ascii="Times New Roman" w:hAnsi="Times New Roman" w:eastAsia="MS Gothic" w:cs="Tahoma"/>
      <w:b/>
      <w:bCs/>
      <w:sz w:val="48"/>
      <w:szCs w:val="48"/>
    </w:rPr>
  </w:style>
  <w:style w:type="paragraph" w:styleId="2">
    <w:name w:val="Heading 2"/>
    <w:basedOn w:val="Style16"/>
    <w:next w:val="Style17"/>
    <w:qFormat/>
    <w:pPr>
      <w:ind w:left="0" w:hanging="0"/>
      <w:outlineLvl w:val="1"/>
    </w:pPr>
    <w:rPr>
      <w:rFonts w:ascii="Times New Roman" w:hAnsi="Times New Roman" w:eastAsia="MS Gothic" w:cs="Tahoma"/>
      <w:b/>
      <w:bCs/>
      <w:sz w:val="36"/>
      <w:szCs w:val="36"/>
    </w:rPr>
  </w:style>
  <w:style w:type="paragraph" w:styleId="3">
    <w:name w:val="Heading 3"/>
    <w:basedOn w:val="Style16"/>
    <w:next w:val="Style17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Style16"/>
    <w:next w:val="Normal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Style16"/>
    <w:next w:val="Normal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Style16"/>
    <w:next w:val="Normal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NumberingSymbols" w:customStyle="1">
    <w:name w:val="POD Numbering Symbols"/>
    <w:qFormat/>
    <w:rPr/>
  </w:style>
  <w:style w:type="character" w:styleId="PODBulletSymbols" w:customStyle="1">
    <w:name w:val="POD Bullet Symbols"/>
    <w:qFormat/>
    <w:rPr>
      <w:rFonts w:ascii="StarSymbol" w:hAnsi="StarSymbol" w:eastAsia="StarSymbol" w:cs="StarSymbol"/>
      <w:sz w:val="18"/>
      <w:szCs w:val="18"/>
    </w:rPr>
  </w:style>
  <w:style w:type="character" w:styleId="WWCharLFO2LVL1" w:customStyle="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2" w:customStyle="1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3" w:customStyle="1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4" w:customStyle="1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5" w:customStyle="1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6" w:customStyle="1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7" w:customStyle="1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8" w:customStyle="1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WWCharLFO2LVL9" w:customStyle="1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position w:val="0"/>
      <w:sz w:val="26"/>
      <w:sz w:val="26"/>
      <w:szCs w:val="26"/>
      <w:u w:val="none"/>
      <w:shd w:fill="auto" w:val="clear"/>
      <w:vertAlign w:val="baselin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Style8" w:customStyle="1">
    <w:name w:val="Символ нумерации"/>
    <w:qFormat/>
    <w:rPr/>
  </w:style>
  <w:style w:type="character" w:styleId="Style9" w:customStyle="1">
    <w:name w:val="обычный приложения Знак"/>
    <w:qFormat/>
    <w:rPr>
      <w:rFonts w:ascii="Times New Roman" w:hAnsi="Times New Roman" w:eastAsia="Calibri"/>
      <w:b/>
      <w:sz w:val="24"/>
      <w:szCs w:val="24"/>
    </w:rPr>
  </w:style>
  <w:style w:type="character" w:styleId="21" w:customStyle="1">
    <w:name w:val="АР Прил 2 Знак"/>
    <w:qFormat/>
    <w:rPr>
      <w:rFonts w:ascii="Times New Roman" w:hAnsi="Times New Roman" w:eastAsia="Calibri"/>
      <w:b/>
      <w:sz w:val="24"/>
      <w:szCs w:val="24"/>
    </w:rPr>
  </w:style>
  <w:style w:type="character" w:styleId="22" w:customStyle="1">
    <w:name w:val="Заголовок 2 Знак"/>
    <w:qFormat/>
    <w:rPr>
      <w:rFonts w:ascii="Calibri Light" w:hAnsi="Calibri Light" w:eastAsia="Times New Roman"/>
      <w:b/>
      <w:bCs/>
      <w:color w:val="4472C4"/>
      <w:sz w:val="26"/>
      <w:szCs w:val="26"/>
    </w:rPr>
  </w:style>
  <w:style w:type="character" w:styleId="2-" w:customStyle="1">
    <w:name w:val="Рег. Заголовок 2-го уровня регламента Знак"/>
    <w:qFormat/>
    <w:rPr>
      <w:rFonts w:ascii="Times New Roman" w:hAnsi="Times New Roman" w:eastAsia="Calibri"/>
      <w:b/>
      <w:bCs/>
      <w:sz w:val="24"/>
      <w:szCs w:val="24"/>
    </w:rPr>
  </w:style>
  <w:style w:type="character" w:styleId="Style10" w:customStyle="1">
    <w:name w:val="Без интервала Знак;Приложение АР Знак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styleId="11" w:customStyle="1">
    <w:name w:val="АР Прил1 Знак"/>
    <w:qFormat/>
    <w:rPr>
      <w:rFonts w:ascii="Times New Roman" w:hAnsi="Times New Roman"/>
      <w:b w:val="false"/>
      <w:bCs/>
      <w:iCs/>
      <w:sz w:val="24"/>
      <w:szCs w:val="24"/>
      <w:lang w:eastAsia="ru-RU"/>
    </w:rPr>
  </w:style>
  <w:style w:type="character" w:styleId="12" w:customStyle="1">
    <w:name w:val="Заголовок 1 Знак"/>
    <w:qFormat/>
    <w:rPr>
      <w:rFonts w:ascii="Calibri Light" w:hAnsi="Calibri Light" w:eastAsia="Times New Roman"/>
      <w:color w:val="2F5496"/>
      <w:sz w:val="32"/>
      <w:szCs w:val="32"/>
    </w:rPr>
  </w:style>
  <w:style w:type="character" w:styleId="Style11" w:customStyle="1">
    <w:name w:val="Основной текст Знак"/>
    <w:basedOn w:val="DefaultParagraphFont"/>
    <w:qFormat/>
    <w:rPr/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sz w:val="16"/>
      <w:szCs w:val="16"/>
    </w:rPr>
  </w:style>
  <w:style w:type="character" w:styleId="Style12" w:customStyle="1">
    <w:name w:val="Текст примечания Знак"/>
    <w:qFormat/>
    <w:rPr>
      <w:rFonts w:cs="Mangal"/>
      <w:sz w:val="18"/>
      <w:szCs w:val="18"/>
    </w:rPr>
  </w:style>
  <w:style w:type="character" w:styleId="Style13" w:customStyle="1">
    <w:name w:val="Верхний колонтитул Знак"/>
    <w:qFormat/>
    <w:rPr>
      <w:rFonts w:ascii="Times New Roman" w:hAnsi="Times New Roman" w:eastAsia="Times New Roman" w:cs="Times New Roman"/>
    </w:rPr>
  </w:style>
  <w:style w:type="character" w:styleId="Style14" w:customStyle="1">
    <w:name w:val="Текст выноски Знак"/>
    <w:link w:val="BalloonText"/>
    <w:uiPriority w:val="99"/>
    <w:semiHidden/>
    <w:qFormat/>
    <w:rsid w:val="008b71ff"/>
    <w:rPr>
      <w:rFonts w:ascii="Segoe UI" w:hAnsi="Segoe UI" w:eastAsia="Times New Roman" w:cs="Mangal"/>
      <w:color w:val="000000"/>
      <w:sz w:val="18"/>
      <w:szCs w:val="16"/>
    </w:rPr>
  </w:style>
  <w:style w:type="character" w:styleId="Style15" w:customStyle="1">
    <w:name w:val="Нижний колонтитул Знак"/>
    <w:uiPriority w:val="99"/>
    <w:qFormat/>
    <w:rsid w:val="006d1992"/>
    <w:rPr>
      <w:rFonts w:ascii="Times New Roman" w:hAnsi="Times New Roman" w:eastAsia="Times New Roman" w:cs="Mangal"/>
      <w:color w:val="000000"/>
      <w:kern w:val="2"/>
      <w:sz w:val="26"/>
      <w:szCs w:val="24"/>
      <w:lang w:eastAsia="zh-CN" w:bidi="hi-IN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20" w:customStyle="1">
    <w:name w:val="Указатель"/>
    <w:basedOn w:val="Normal"/>
    <w:qFormat/>
    <w:pPr>
      <w:suppressLineNumbers/>
    </w:pPr>
    <w:rPr>
      <w:rFonts w:cs="Lucida Sans"/>
    </w:rPr>
  </w:style>
  <w:style w:type="paragraph" w:styleId="ParaKWN" w:customStyle="1">
    <w:name w:val="ParaKWN"/>
    <w:basedOn w:val="Normal"/>
    <w:qFormat/>
    <w:pPr>
      <w:keepNext w:val="true"/>
    </w:pPr>
    <w:rPr/>
  </w:style>
  <w:style w:type="paragraph" w:styleId="PodPageBreakBefore" w:customStyle="1">
    <w:name w:val="podPageBreakBefore"/>
    <w:qFormat/>
    <w:pPr>
      <w:pageBreakBefore/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PageBreakAfter" w:customStyle="1">
    <w:name w:val="podPageBreakAfter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4"/>
      <w:szCs w:val="24"/>
      <w:lang w:val="ru-RU" w:eastAsia="zh-CN" w:bidi="hi-IN"/>
    </w:rPr>
  </w:style>
  <w:style w:type="paragraph" w:styleId="PodColumnBreak" w:customStyle="1">
    <w:name w:val="podColumnBreak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PodBulletItem" w:customStyle="1">
    <w:name w:val="podBulletItem"/>
    <w:basedOn w:val="Normal"/>
    <w:qFormat/>
    <w:pPr>
      <w:numPr>
        <w:ilvl w:val="0"/>
        <w:numId w:val="2"/>
      </w:numPr>
    </w:pPr>
    <w:rPr/>
  </w:style>
  <w:style w:type="paragraph" w:styleId="PodNumberItem" w:customStyle="1">
    <w:name w:val="podNumberItem"/>
    <w:basedOn w:val="Normal"/>
    <w:qFormat/>
    <w:pPr>
      <w:numPr>
        <w:ilvl w:val="0"/>
        <w:numId w:val="3"/>
      </w:numPr>
    </w:pPr>
    <w:rPr/>
  </w:style>
  <w:style w:type="paragraph" w:styleId="PodBulletItemKeepWithNext" w:customStyle="1">
    <w:name w:val="podBullet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PodNumberItemKeepWithNext" w:customStyle="1">
    <w:name w:val="podNumberItemKeepWithNext"/>
    <w:basedOn w:val="Normal"/>
    <w:qFormat/>
    <w:pPr>
      <w:keepNext w:val="true"/>
      <w:tabs>
        <w:tab w:val="clear" w:pos="709"/>
        <w:tab w:val="left" w:pos="720" w:leader="none"/>
      </w:tabs>
      <w:ind w:left="720" w:hanging="360"/>
    </w:pPr>
    <w:rPr/>
  </w:style>
  <w:style w:type="paragraph" w:styleId="Tablecell" w:customStyle="1">
    <w:name w:val="Table cell"/>
    <w:basedOn w:val="Normal"/>
    <w:qFormat/>
    <w:pPr>
      <w:suppressLineNumbers/>
      <w:spacing w:before="0" w:after="0"/>
    </w:pPr>
    <w:rPr/>
  </w:style>
  <w:style w:type="paragraph" w:styleId="Tableheading" w:customStyle="1">
    <w:name w:val="Table heading"/>
    <w:basedOn w:val="Tablecell"/>
    <w:qFormat/>
    <w:pPr/>
    <w:rPr>
      <w:b/>
      <w:bCs/>
    </w:rPr>
  </w:style>
  <w:style w:type="paragraph" w:styleId="PodTablePara" w:customStyle="1">
    <w:name w:val="podTablePara"/>
    <w:basedOn w:val="Tablecell"/>
    <w:qFormat/>
    <w:pPr/>
    <w:rPr>
      <w:sz w:val="16"/>
    </w:rPr>
  </w:style>
  <w:style w:type="paragraph" w:styleId="PodTableParaBold" w:customStyle="1">
    <w:name w:val="podTableParaBold"/>
    <w:basedOn w:val="Tablecell"/>
    <w:qFormat/>
    <w:pPr/>
    <w:rPr>
      <w:b/>
      <w:bCs/>
      <w:sz w:val="16"/>
    </w:rPr>
  </w:style>
  <w:style w:type="paragraph" w:styleId="PodTableParaRight" w:customStyle="1">
    <w:name w:val="podTableParaRight"/>
    <w:basedOn w:val="Tablecell"/>
    <w:qFormat/>
    <w:pPr>
      <w:jc w:val="right"/>
    </w:pPr>
    <w:rPr>
      <w:sz w:val="16"/>
    </w:rPr>
  </w:style>
  <w:style w:type="paragraph" w:styleId="PodTableParaBoldRight" w:customStyle="1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13" w:customStyle="1">
    <w:name w:val="Обычная таблица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ru-RU" w:eastAsia="ru-RU" w:bidi="ar-SA"/>
    </w:rPr>
  </w:style>
  <w:style w:type="paragraph" w:styleId="LO-Normal3" w:customStyle="1">
    <w:name w:val="LO-Normal3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Style21" w:customStyle="1">
    <w:name w:val="Содержимое таблицы"/>
    <w:basedOn w:val="Normal"/>
    <w:qFormat/>
    <w:pPr>
      <w:suppressLineNumbers/>
    </w:pPr>
    <w:rPr/>
  </w:style>
  <w:style w:type="paragraph" w:styleId="Style22" w:customStyle="1">
    <w:name w:val="обычный приложения"/>
    <w:basedOn w:val="Normal"/>
    <w:qFormat/>
    <w:pPr>
      <w:jc w:val="center"/>
    </w:pPr>
    <w:rPr>
      <w:rFonts w:eastAsia="Calibri"/>
      <w:b/>
      <w:sz w:val="24"/>
    </w:rPr>
  </w:style>
  <w:style w:type="paragraph" w:styleId="23" w:customStyle="1">
    <w:name w:val="АР Прил 2"/>
    <w:basedOn w:val="Style22"/>
    <w:qFormat/>
    <w:pPr/>
    <w:rPr/>
  </w:style>
  <w:style w:type="paragraph" w:styleId="2-1" w:customStyle="1">
    <w:name w:val="Рег. Заголовок 2-го уровня регламента"/>
    <w:basedOn w:val="Normal"/>
    <w:qFormat/>
    <w:pPr>
      <w:spacing w:lineRule="auto" w:line="240" w:before="0" w:after="0"/>
      <w:ind w:left="0" w:hanging="0"/>
      <w:jc w:val="center"/>
      <w:outlineLvl w:val="1"/>
    </w:pPr>
    <w:rPr>
      <w:rFonts w:eastAsia="Calibri"/>
      <w:b/>
      <w:bCs/>
      <w:sz w:val="24"/>
    </w:rPr>
  </w:style>
  <w:style w:type="paragraph" w:styleId="Style23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Style24" w:customStyle="1">
    <w:name w:val="Заголовок таблицы"/>
    <w:basedOn w:val="Style21"/>
    <w:qFormat/>
    <w:pPr>
      <w:jc w:val="center"/>
    </w:pPr>
    <w:rPr>
      <w:b/>
      <w:bCs/>
    </w:rPr>
  </w:style>
  <w:style w:type="paragraph" w:styleId="NoSpacing" w:customStyle="1">
    <w:name w:val="No Spacing;Приложение АР"/>
    <w:basedOn w:val="1"/>
    <w:next w:val="2-1"/>
    <w:qFormat/>
    <w:pPr>
      <w:spacing w:lineRule="auto" w:line="240" w:before="240" w:after="240"/>
      <w:jc w:val="right"/>
    </w:pPr>
    <w:rPr>
      <w:iCs/>
      <w:sz w:val="24"/>
    </w:rPr>
  </w:style>
  <w:style w:type="paragraph" w:styleId="14" w:customStyle="1">
    <w:name w:val="АР Прил1"/>
    <w:basedOn w:val="NoSpacing"/>
    <w:qFormat/>
    <w:pPr>
      <w:spacing w:before="240" w:after="0"/>
      <w:ind w:left="0" w:firstLine="4820"/>
    </w:pPr>
    <w:rPr/>
  </w:style>
  <w:style w:type="paragraph" w:styleId="15" w:customStyle="1">
    <w:name w:val="Сетка таблицы1"/>
    <w:basedOn w:val="13"/>
    <w:qFormat/>
    <w:pPr/>
    <w:rPr/>
  </w:style>
  <w:style w:type="paragraph" w:styleId="Style25" w:customStyle="1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Style26" w:customStyle="1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27">
    <w:name w:val="Header"/>
    <w:basedOn w:val="Style26"/>
    <w:pPr/>
    <w:rPr/>
  </w:style>
  <w:style w:type="paragraph" w:styleId="HeaderLeft" w:customStyle="1">
    <w:name w:val="Header Left"/>
    <w:basedOn w:val="Style27"/>
    <w:qFormat/>
    <w:pPr/>
    <w:rPr/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LO-Normal0" w:customStyle="1">
    <w:name w:val="LO-Normal0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LO-Normal1" w:customStyle="1">
    <w:name w:val="LO-Normal1"/>
    <w:qFormat/>
    <w:pPr>
      <w:widowControl/>
      <w:suppressAutoHyphens w:val="true"/>
      <w:bidi w:val="0"/>
      <w:spacing w:lineRule="auto" w:line="264" w:before="0" w:after="56"/>
      <w:ind w:left="48" w:hanging="10"/>
      <w:jc w:val="both"/>
    </w:pPr>
    <w:rPr>
      <w:rFonts w:ascii="Times New Roman" w:hAnsi="Times New Roman" w:eastAsia="Times New Roman" w:cs="Times New Roman"/>
      <w:color w:val="000000"/>
      <w:kern w:val="2"/>
      <w:sz w:val="26"/>
      <w:szCs w:val="24"/>
      <w:lang w:val="ru-RU" w:eastAsia="zh-CN" w:bidi="hi-IN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8b71ff"/>
    <w:pPr>
      <w:spacing w:lineRule="auto" w:line="240" w:before="0" w:after="0"/>
    </w:pPr>
    <w:rPr>
      <w:rFonts w:ascii="Segoe UI" w:hAnsi="Segoe UI" w:cs="Mangal"/>
      <w:sz w:val="18"/>
      <w:szCs w:val="16"/>
    </w:rPr>
  </w:style>
  <w:style w:type="paragraph" w:styleId="Style28">
    <w:name w:val="Footer"/>
    <w:basedOn w:val="Normal"/>
    <w:link w:val="Style15"/>
    <w:uiPriority w:val="99"/>
    <w:unhideWhenUsed/>
    <w:rsid w:val="006d1992"/>
    <w:pPr>
      <w:tabs>
        <w:tab w:val="clear" w:pos="709"/>
        <w:tab w:val="center" w:pos="4677" w:leader="none"/>
        <w:tab w:val="right" w:pos="9355" w:leader="none"/>
      </w:tabs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numbering" w:styleId="PodBulletedList" w:customStyle="1">
    <w:name w:val="podBulletedList"/>
    <w:qFormat/>
  </w:style>
  <w:style w:type="numbering" w:styleId="PodNumberedList" w:customStyle="1">
    <w:name w:val="podNumberedList"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1E354-BCE1-4DFC-B751-BF0621E56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LibreOffice/7.5.7.1$Windows_X86_64 LibreOffice_project/47eb0cf7efbacdee9b19ae25d6752381ede23126</Application>
  <AppVersion>15.0000</AppVersion>
  <Pages>90</Pages>
  <Words>22302</Words>
  <Characters>170957</Characters>
  <CharactersWithSpaces>192415</CharactersWithSpaces>
  <Paragraphs>951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2025-06-24T10:08:00Z</dcterms:created>
  <dc:creator>Пользователь</dc:creator>
  <dc:description/>
  <dc:language>en-US</dc:language>
  <cp:lastModifiedBy/>
  <cp:lastPrinted>2025-06-18T14:37:00Z</cp:lastPrinted>
  <dcterms:modified xsi:type="dcterms:W3CDTF">2025-07-24T11:45:05Z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