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wmf" ContentType="image/x-wmf"/>
  <Override PartName="/word/media/image3.wmf" ContentType="image/x-wmf"/>
  <Override PartName="/word/media/image4.wmf" ContentType="image/x-wmf"/>
  <Override PartName="/word/media/image5.png" ContentType="image/png"/>
  <Override PartName="/word/media/image6.wmf" ContentType="image/x-wmf"/>
  <Override PartName="/word/media/image7.png" ContentType="image/png"/>
  <Override PartName="/word/media/image8.png" ContentType="image/pn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numPr>
          <w:ilvl w:val="0"/>
          <w:numId w:val="0"/>
        </w:numPr>
        <w:spacing w:before="120" w:after="0"/>
        <w:ind w:left="1701" w:right="0" w:hanging="0"/>
        <w:jc w:val="left"/>
        <w:rPr>
          <w:rFonts w:ascii="Times New Roman" w:hAnsi="Times New Roman"/>
          <w:sz w:val="30"/>
          <w:szCs w:val="30"/>
          <w:lang w:val="ru-RU" w:eastAsia="ru-RU"/>
        </w:rPr>
      </w:pPr>
      <w:r>
        <w:drawing>
          <wp:anchor behindDoc="0" distT="0" distB="0" distL="0" distR="0" simplePos="0" locked="0" layoutInCell="1" allowOverlap="1" relativeHeight="9">
            <wp:simplePos x="0" y="0"/>
            <wp:positionH relativeFrom="column">
              <wp:posOffset>0</wp:posOffset>
            </wp:positionH>
            <wp:positionV relativeFrom="paragraph">
              <wp:posOffset>-6350</wp:posOffset>
            </wp:positionV>
            <wp:extent cx="718820" cy="898525"/>
            <wp:effectExtent l="0" t="0" r="0" b="0"/>
            <wp:wrapNone/>
            <wp:docPr id="1" name="Изображение1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Копия 1" descr=""/>
                    <pic:cNvPicPr>
                      <a:picLocks noChangeAspect="1" noChangeArrowheads="1"/>
                    </pic:cNvPicPr>
                  </pic:nvPicPr>
                  <pic:blipFill>
                    <a:blip r:embed="rId2"/>
                    <a:srcRect l="-51" t="-40" r="-51" b="-40"/>
                    <a:stretch>
                      <a:fillRect/>
                    </a:stretch>
                  </pic:blipFill>
                  <pic:spPr bwMode="auto">
                    <a:xfrm>
                      <a:off x="0" y="0"/>
                      <a:ext cx="718820" cy="898525"/>
                    </a:xfrm>
                    <a:prstGeom prst="rect">
                      <a:avLst/>
                    </a:prstGeom>
                  </pic:spPr>
                </pic:pic>
              </a:graphicData>
            </a:graphic>
          </wp:anchor>
        </w:drawing>
      </w:r>
      <w:r>
        <w:rPr>
          <w:rFonts w:ascii="Times New Roman" w:hAnsi="Times New Roman"/>
          <w:sz w:val="30"/>
          <w:szCs w:val="30"/>
          <w:lang w:val="ru-RU" w:eastAsia="ru-RU"/>
        </w:rPr>
        <w:t>АДМИНИСТРАЦИЯ ГОРОДСКОГО ОКРУГА ФРЯЗИНО</w:t>
      </w:r>
    </w:p>
    <w:p>
      <w:pPr>
        <w:pStyle w:val="3"/>
        <w:numPr>
          <w:ilvl w:val="2"/>
          <w:numId w:val="1"/>
        </w:numPr>
        <w:spacing w:before="240" w:after="0"/>
        <w:ind w:left="2410" w:right="0" w:hanging="0"/>
        <w:jc w:val="left"/>
        <w:rPr>
          <w:rFonts w:ascii="Times New Roman" w:hAnsi="Times New Roman"/>
        </w:rPr>
      </w:pPr>
      <w:r>
        <w:rPr>
          <w:rFonts w:ascii="Times New Roman" w:hAnsi="Times New Roman"/>
          <w:sz w:val="46"/>
          <w:szCs w:val="46"/>
          <w:lang w:val="en-US"/>
        </w:rPr>
        <w:t xml:space="preserve">      </w:t>
      </w:r>
      <w:r>
        <w:rPr>
          <w:rFonts w:ascii="Times New Roman" w:hAnsi="Times New Roman"/>
          <w:sz w:val="46"/>
          <w:szCs w:val="46"/>
        </w:rPr>
        <w:t>ПОСТАНОВЛЕНИЕ</w:t>
      </w:r>
    </w:p>
    <w:p>
      <w:pPr>
        <w:pStyle w:val="Normal"/>
        <w:tabs>
          <w:tab w:val="clear" w:pos="708"/>
          <w:tab w:val="left" w:pos="8325" w:leader="none"/>
        </w:tabs>
        <w:rPr>
          <w:rFonts w:ascii="Times New Roman" w:hAnsi="Times New Roman"/>
          <w:lang w:val="en-US"/>
        </w:rPr>
      </w:pPr>
      <w:r>
        <w:rPr>
          <w:rFonts w:ascii="Times New Roman" w:hAnsi="Times New Roman"/>
          <w:lang w:val="en-US"/>
        </w:rPr>
        <w:tab/>
      </w:r>
    </w:p>
    <w:p>
      <w:pPr>
        <w:pStyle w:val="Normal"/>
        <w:spacing w:before="60" w:after="0"/>
        <w:ind w:left="1842" w:right="0" w:firstLine="608"/>
        <w:rPr>
          <w:rFonts w:ascii="Times New Roman" w:hAnsi="Times New Roman"/>
        </w:rPr>
      </w:pPr>
      <w:r>
        <w:rPr>
          <w:rFonts w:ascii="Times New Roman" w:hAnsi="Times New Roman"/>
          <w:b/>
          <w:bCs/>
          <w:sz w:val="28"/>
          <w:szCs w:val="28"/>
        </w:rPr>
        <w:t xml:space="preserve">                      </w:t>
      </w:r>
      <w:r>
        <w:rPr>
          <w:rFonts w:ascii="Times New Roman" w:hAnsi="Times New Roman"/>
          <w:b/>
          <w:bCs/>
          <w:sz w:val="28"/>
          <w:szCs w:val="28"/>
        </w:rPr>
        <w:t>от</w:t>
      </w:r>
      <w:r>
        <w:rPr>
          <w:rFonts w:ascii="Times New Roman" w:hAnsi="Times New Roman"/>
          <w:sz w:val="28"/>
          <w:szCs w:val="28"/>
        </w:rPr>
        <w:t xml:space="preserve"> </w:t>
      </w:r>
      <w:r>
        <w:rPr>
          <w:rFonts w:ascii="Times New Roman" w:hAnsi="Times New Roman"/>
          <w:sz w:val="28"/>
          <w:szCs w:val="28"/>
        </w:rPr>
        <w:t>10.09.2025</w:t>
      </w:r>
      <w:r>
        <w:rPr>
          <w:rFonts w:ascii="Times New Roman" w:hAnsi="Times New Roman"/>
          <w:sz w:val="28"/>
          <w:szCs w:val="28"/>
        </w:rPr>
        <w:t xml:space="preserve"> </w:t>
      </w:r>
      <w:r>
        <w:rPr>
          <w:rFonts w:ascii="Times New Roman" w:hAnsi="Times New Roman"/>
          <w:b/>
          <w:sz w:val="28"/>
          <w:szCs w:val="28"/>
        </w:rPr>
        <w:t>№</w:t>
      </w:r>
      <w:r>
        <w:rPr>
          <w:rFonts w:ascii="Times New Roman" w:hAnsi="Times New Roman"/>
          <w:b/>
          <w:sz w:val="28"/>
          <w:szCs w:val="28"/>
        </w:rPr>
        <w:t xml:space="preserve"> </w:t>
      </w:r>
      <w:r>
        <w:rPr>
          <w:rFonts w:ascii="Times New Roman" w:hAnsi="Times New Roman"/>
          <w:b w:val="false"/>
          <w:bCs w:val="false"/>
          <w:sz w:val="28"/>
          <w:szCs w:val="28"/>
        </w:rPr>
        <w:t>831</w:t>
      </w:r>
    </w:p>
    <w:p>
      <w:pPr>
        <w:pStyle w:val="Normal"/>
        <w:suppressAutoHyphens w:val="true"/>
        <w:spacing w:lineRule="auto" w:line="240" w:before="0" w:after="0"/>
        <w:ind w:right="4109" w:hanging="0"/>
        <w:jc w:val="both"/>
        <w:rPr>
          <w:rFonts w:ascii="Calibri" w:hAnsi="Calibri" w:eastAsia="Calibri" w:cs="Times New Roman"/>
          <w:sz w:val="28"/>
          <w:szCs w:val="28"/>
          <w:lang w:eastAsia="zh-CN"/>
        </w:rPr>
      </w:pPr>
      <w:r>
        <w:rPr>
          <w:rFonts w:eastAsia="Calibri" w:cs="Times New Roman"/>
          <w:sz w:val="28"/>
          <w:szCs w:val="28"/>
          <w:lang w:eastAsia="zh-CN"/>
        </w:rPr>
      </w:r>
    </w:p>
    <w:p>
      <w:pPr>
        <w:pStyle w:val="Normal"/>
        <w:suppressAutoHyphens w:val="true"/>
        <w:spacing w:lineRule="auto" w:line="240" w:before="0" w:after="0"/>
        <w:ind w:right="4109" w:hanging="0"/>
        <w:jc w:val="both"/>
        <w:rPr>
          <w:rFonts w:ascii="Calibri" w:hAnsi="Calibri" w:eastAsia="Calibri" w:cs="Times New Roman"/>
          <w:sz w:val="28"/>
          <w:szCs w:val="28"/>
          <w:lang w:eastAsia="zh-CN"/>
        </w:rPr>
      </w:pPr>
      <w:r>
        <w:rPr>
          <w:rFonts w:eastAsia="Calibri" w:cs="Times New Roman"/>
          <w:sz w:val="28"/>
          <w:szCs w:val="28"/>
          <w:lang w:eastAsia="zh-CN"/>
        </w:rPr>
      </w:r>
    </w:p>
    <w:p>
      <w:pPr>
        <w:pStyle w:val="Normal"/>
        <w:suppressAutoHyphens w:val="true"/>
        <w:spacing w:lineRule="auto" w:line="240" w:before="0" w:after="0"/>
        <w:ind w:right="4109" w:hanging="0"/>
        <w:jc w:val="both"/>
        <w:rPr>
          <w:rFonts w:ascii="Calibri" w:hAnsi="Calibri" w:eastAsia="Calibri" w:cs="Times New Roman"/>
          <w:sz w:val="28"/>
          <w:szCs w:val="28"/>
          <w:lang w:eastAsia="zh-CN"/>
        </w:rPr>
      </w:pPr>
      <w:r>
        <w:rPr>
          <w:rFonts w:eastAsia="Times New Roman" w:cs="Times New Roman" w:ascii="Times New Roman" w:hAnsi="Times New Roman"/>
          <w:sz w:val="28"/>
          <w:szCs w:val="28"/>
          <w:lang w:eastAsia="zh-CN"/>
        </w:rPr>
        <w:t>О внесении изменений в постановление Администрации городского округа Фрязино от 14.12.2022 № 884 «Об утверждении муниципальной программы городского округа Фрязино Московской области «Предпринимательство» на 2023-2027 годы</w:t>
      </w:r>
    </w:p>
    <w:p>
      <w:pPr>
        <w:pStyle w:val="Normal"/>
        <w:suppressAutoHyphens w:val="true"/>
        <w:spacing w:lineRule="auto" w:line="240" w:before="0" w:after="0"/>
        <w:ind w:firstLine="709"/>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r>
    </w:p>
    <w:p>
      <w:pPr>
        <w:pStyle w:val="Normal"/>
        <w:suppressAutoHyphens w:val="true"/>
        <w:spacing w:lineRule="auto" w:line="240" w:before="0" w:after="0"/>
        <w:ind w:firstLine="709"/>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r>
    </w:p>
    <w:p>
      <w:pPr>
        <w:pStyle w:val="Normal"/>
        <w:suppressAutoHyphens w:val="true"/>
        <w:spacing w:lineRule="auto" w:line="240" w:before="0" w:after="0"/>
        <w:ind w:firstLine="850"/>
        <w:jc w:val="both"/>
        <w:rPr>
          <w:rFonts w:ascii="Calibri" w:hAnsi="Calibri" w:eastAsia="Calibri" w:cs="Times New Roman"/>
          <w:sz w:val="28"/>
          <w:szCs w:val="28"/>
          <w:lang w:eastAsia="zh-CN"/>
        </w:rPr>
      </w:pPr>
      <w:r>
        <w:rPr>
          <w:rFonts w:eastAsia="Times New Roman" w:cs="Times New Roman" w:ascii="Times New Roman" w:hAnsi="Times New Roman"/>
          <w:sz w:val="28"/>
          <w:szCs w:val="28"/>
          <w:lang w:eastAsia="zh-CN"/>
        </w:rPr>
        <w:t>В соответствии с Бюджетным Кодексом Российской Федерации,</w:t>
      </w:r>
      <w:r>
        <w:rPr>
          <w:rFonts w:eastAsia="Times New Roman" w:cs="Times New Roman" w:ascii="Times New Roman" w:hAnsi="Times New Roman"/>
          <w:sz w:val="28"/>
          <w:szCs w:val="28"/>
          <w:lang w:eastAsia="ar-SA"/>
        </w:rPr>
        <w:t xml:space="preserve"> Федеральным законом от 06.10.2003 № 131-ФЗ «Об общих принципах организации местного самоуправления в Российской Федерации», </w:t>
      </w:r>
      <w:r>
        <w:rPr>
          <w:rFonts w:eastAsia="Times New Roman" w:cs="Times New Roman" w:ascii="Times New Roman" w:hAnsi="Times New Roman"/>
          <w:sz w:val="28"/>
          <w:szCs w:val="28"/>
          <w:lang w:eastAsia="zh-CN"/>
        </w:rPr>
        <w:t xml:space="preserve"> постановлением Администрации городского округа Фрязино от 09.11.2022 </w:t>
        <w:br/>
        <w:t xml:space="preserve">№ 761 «О Перечне муниципальных программ городского округа Фрязино Московской области, реализация которых планируется с 2023 года», постановлением Администрации городского округа Фрязино от 06.03.2023 </w:t>
        <w:br/>
        <w:t>№ 187 «Об утверждении Порядка разработки и реализации муниципальных программ городского округа Фрязино Московской области», решением Совета депутатов городского округа Фрязино от 17.12.2024 № 519/90 «О бюджете городского округа Фрязино на 2025 год и на плановый период 2026 и 2027 годов», руководствуясь Уставом городского округа Фрязино Московской области,</w:t>
      </w:r>
    </w:p>
    <w:p>
      <w:pPr>
        <w:pStyle w:val="Normal"/>
        <w:suppressAutoHyphens w:val="true"/>
        <w:spacing w:lineRule="auto" w:line="240" w:before="0" w:after="0"/>
        <w:jc w:val="center"/>
        <w:rPr>
          <w:rFonts w:ascii="Calibri" w:hAnsi="Calibri" w:eastAsia="Calibri" w:cs="Times New Roman"/>
          <w:sz w:val="28"/>
          <w:szCs w:val="28"/>
          <w:lang w:eastAsia="zh-CN"/>
        </w:rPr>
      </w:pPr>
      <w:r>
        <w:rPr>
          <w:rFonts w:eastAsia="Times New Roman" w:cs="Times New Roman" w:ascii="Times New Roman" w:hAnsi="Times New Roman"/>
          <w:b/>
          <w:sz w:val="28"/>
          <w:szCs w:val="28"/>
          <w:lang w:eastAsia="zh-CN"/>
        </w:rPr>
        <w:t>п о с т а н о в л я ю:</w:t>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1. Внести в постановление Администрации городского округа Фрязино от 14.12.2022 № 884 «Об утверждении муниципальной программы городского округа Фрязино Московской области «Предпринимательство» на 2023-2027 годы» (далее – Программа) следующие изменения:</w:t>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1.1. Раздел 1 «Краткая характеристика сферы реализации муниципальной программы, в том числе формулировка основных проблем в указанной сфере» изложить в новой редакции согласно приложению 1 к настоящему постановлению.</w:t>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1.2. Раздел 2 «Целевые показатели реализации муниципальной программы «Предпринимательство» на 2023-2027 годы» изложить в новой редакции согласно приложению 2 к настоящему постановлению.</w:t>
      </w:r>
    </w:p>
    <w:p>
      <w:pPr>
        <w:sectPr>
          <w:type w:val="nextPage"/>
          <w:pgSz w:w="11906" w:h="16838"/>
          <w:pgMar w:left="1701" w:right="567" w:gutter="0" w:header="0" w:top="938" w:footer="0" w:bottom="1361"/>
          <w:pgNumType w:fmt="decimal"/>
          <w:formProt w:val="false"/>
          <w:textDirection w:val="lrTb"/>
          <w:docGrid w:type="default" w:linePitch="360" w:charSpace="4096"/>
        </w:sect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 xml:space="preserve">1.3. Раздел 3.1 «Методика определения результатов выполнения мероприятий муниципальной программы «Предпринимательство» на 2023-2027 </w:t>
      </w:r>
    </w:p>
    <w:p>
      <w:pPr>
        <w:pStyle w:val="Normal"/>
        <w:suppressAutoHyphens w:val="true"/>
        <w:spacing w:lineRule="auto" w:line="240" w:before="0" w:after="0"/>
        <w:ind w:hanging="0"/>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годы» изложить в новой редакции согласно приложению 3 к настоящему постановлению.</w:t>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1.4. Раздел 4.2 «Адресный перечень объектов муниципальной собственности, имущества, предназначенного для решения вопросов местного значения, финансирование которых предусмотрено мероприятием 03.01.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подпрограммы Инвестиции» Программы изложить в новой редакции согласно приложению 4 к настоящему постановлению.</w:t>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 xml:space="preserve">1.4. Раздел 6 «Подпрограмма </w:t>
      </w:r>
      <w:r>
        <w:rPr>
          <w:rFonts w:eastAsia="Calibri" w:cs="Times New Roman" w:ascii="Times New Roman" w:hAnsi="Times New Roman"/>
          <w:sz w:val="28"/>
          <w:szCs w:val="28"/>
          <w:lang w:val="en-US" w:eastAsia="zh-CN"/>
        </w:rPr>
        <w:t>III</w:t>
      </w:r>
      <w:r>
        <w:rPr>
          <w:rFonts w:eastAsia="Calibri" w:cs="Times New Roman" w:ascii="Times New Roman" w:hAnsi="Times New Roman"/>
          <w:sz w:val="28"/>
          <w:szCs w:val="28"/>
          <w:lang w:eastAsia="zh-CN"/>
        </w:rPr>
        <w:t xml:space="preserve"> «Развитие малого и среднего предпринимательства» Программы изложить в новой редакции согласно приложению 5 к настоящему постановлению.</w:t>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1.5. Раздел 7 «Подпрограмма IV «Развитие потребительского рынка и услуг на территории муниципального образования Московской области» Программы изложить в новой редакции согласно приложению 6 к настоящему постановлению.</w:t>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2.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информационно-телекоммуникационной сети Интернет.</w:t>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3. Назначить ответственным за исполнение настоящего постановления начальника отдела экономики администрации городского округа Фрязино Жданову С.В.</w:t>
      </w:r>
    </w:p>
    <w:p>
      <w:pPr>
        <w:pStyle w:val="Normal"/>
        <w:suppressAutoHyphens w:val="true"/>
        <w:spacing w:lineRule="auto" w:line="240" w:before="0" w:after="0"/>
        <w:ind w:firstLine="851"/>
        <w:jc w:val="both"/>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t>4. Контроль за исполнением настоящего постановления возложить на первого заместителя главы городского округа Фрязино Князеву Н.В.</w:t>
      </w:r>
    </w:p>
    <w:p>
      <w:pPr>
        <w:pStyle w:val="Normal"/>
        <w:suppressAutoHyphens w:val="true"/>
        <w:spacing w:lineRule="auto" w:line="240" w:before="0" w:after="0"/>
        <w:ind w:firstLine="851"/>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r>
    </w:p>
    <w:p>
      <w:pPr>
        <w:pStyle w:val="Normal"/>
        <w:suppressAutoHyphens w:val="true"/>
        <w:spacing w:lineRule="auto" w:line="240" w:before="0" w:after="0"/>
        <w:ind w:firstLine="851"/>
        <w:jc w:val="both"/>
        <w:rPr>
          <w:rFonts w:ascii="Times New Roman" w:hAnsi="Times New Roman" w:eastAsia="Times New Roman" w:cs="Times New Roman"/>
          <w:sz w:val="28"/>
          <w:szCs w:val="28"/>
          <w:lang w:eastAsia="zh-CN"/>
        </w:rPr>
      </w:pPr>
      <w:r>
        <w:rPr>
          <w:rFonts w:eastAsia="Times New Roman" w:cs="Times New Roman" w:ascii="Times New Roman" w:hAnsi="Times New Roman"/>
          <w:sz w:val="28"/>
          <w:szCs w:val="28"/>
          <w:lang w:eastAsia="zh-CN"/>
        </w:rPr>
      </w:r>
    </w:p>
    <w:tbl>
      <w:tblPr>
        <w:tblW w:w="9885"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4555"/>
        <w:gridCol w:w="5329"/>
      </w:tblGrid>
      <w:tr>
        <w:trPr/>
        <w:tc>
          <w:tcPr>
            <w:tcW w:w="4555" w:type="dxa"/>
            <w:tcBorders/>
            <w:shd w:color="auto" w:fill="auto" w:val="clear"/>
          </w:tcPr>
          <w:p>
            <w:pPr>
              <w:pStyle w:val="Normal"/>
              <w:widowControl w:val="false"/>
              <w:tabs>
                <w:tab w:val="clear" w:pos="708"/>
                <w:tab w:val="left" w:pos="851" w:leader="none"/>
              </w:tabs>
              <w:suppressAutoHyphens w:val="true"/>
              <w:spacing w:lineRule="auto" w:line="240" w:before="0" w:after="0"/>
              <w:jc w:val="both"/>
              <w:rPr>
                <w:rFonts w:ascii="Calibri" w:hAnsi="Calibri" w:eastAsia="Calibri" w:cs="Times New Roman"/>
                <w:sz w:val="28"/>
                <w:szCs w:val="28"/>
                <w:lang w:eastAsia="zh-CN"/>
              </w:rPr>
            </w:pPr>
            <w:r>
              <w:rPr>
                <w:rFonts w:eastAsia="Times New Roman" w:cs="Times New Roman" w:ascii="Times New Roman" w:hAnsi="Times New Roman"/>
                <w:sz w:val="28"/>
                <w:szCs w:val="28"/>
                <w:lang w:eastAsia="zh-CN"/>
              </w:rPr>
              <w:t>Глава городского округа Фрязино</w:t>
            </w:r>
          </w:p>
        </w:tc>
        <w:tc>
          <w:tcPr>
            <w:tcW w:w="5329" w:type="dxa"/>
            <w:tcBorders/>
            <w:shd w:color="auto" w:fill="auto" w:val="clear"/>
          </w:tcPr>
          <w:p>
            <w:pPr>
              <w:pStyle w:val="Normal"/>
              <w:widowControl w:val="false"/>
              <w:tabs>
                <w:tab w:val="clear" w:pos="708"/>
                <w:tab w:val="left" w:pos="851" w:leader="none"/>
                <w:tab w:val="left" w:pos="5145" w:leader="none"/>
              </w:tabs>
              <w:suppressAutoHyphens w:val="true"/>
              <w:spacing w:lineRule="auto" w:line="240" w:before="0" w:after="0"/>
              <w:ind w:right="170" w:hanging="0"/>
              <w:jc w:val="right"/>
              <w:rPr>
                <w:rFonts w:ascii="Calibri" w:hAnsi="Calibri" w:eastAsia="Calibri" w:cs="Times New Roman"/>
                <w:sz w:val="28"/>
                <w:szCs w:val="28"/>
                <w:lang w:eastAsia="zh-CN"/>
              </w:rPr>
            </w:pPr>
            <w:r>
              <w:rPr>
                <w:rFonts w:eastAsia="Times New Roman" w:cs="Times New Roman" w:ascii="Times New Roman" w:hAnsi="Times New Roman"/>
                <w:sz w:val="28"/>
                <w:szCs w:val="28"/>
                <w:lang w:eastAsia="zh-CN"/>
              </w:rPr>
              <w:t xml:space="preserve">  </w:t>
            </w:r>
            <w:r>
              <w:rPr>
                <w:rFonts w:eastAsia="Times New Roman" w:cs="Times New Roman" w:ascii="Times New Roman" w:hAnsi="Times New Roman"/>
                <w:sz w:val="28"/>
                <w:szCs w:val="28"/>
                <w:lang w:eastAsia="zh-CN"/>
              </w:rPr>
              <w:t>Д.Р. Воробьев</w:t>
            </w:r>
          </w:p>
        </w:tc>
      </w:tr>
    </w:tbl>
    <w:p>
      <w:pPr>
        <w:sectPr>
          <w:type w:val="nextPage"/>
          <w:pgSz w:w="11906" w:h="16838"/>
          <w:pgMar w:left="1701" w:right="567" w:gutter="0" w:header="0" w:top="720" w:footer="0" w:bottom="1361"/>
          <w:pgNumType w:fmt="decimal"/>
          <w:formProt w:val="false"/>
          <w:textDirection w:val="lrTb"/>
          <w:docGrid w:type="default" w:linePitch="360" w:charSpace="4096"/>
        </w:sectPr>
        <w:pStyle w:val="Normal"/>
        <w:suppressAutoHyphens w:val="true"/>
        <w:spacing w:lineRule="auto" w:line="240" w:before="0" w:after="0"/>
        <w:rPr>
          <w:rFonts w:ascii="Times New Roman" w:hAnsi="Times New Roman" w:eastAsia="Calibri" w:cs="Times New Roman"/>
          <w:sz w:val="28"/>
          <w:szCs w:val="28"/>
          <w:lang w:eastAsia="zh-CN"/>
        </w:rPr>
      </w:pPr>
      <w:r>
        <w:rPr>
          <w:rFonts w:eastAsia="Calibri" w:cs="Times New Roman" w:ascii="Times New Roman" w:hAnsi="Times New Roman"/>
          <w:sz w:val="28"/>
          <w:szCs w:val="28"/>
          <w:lang w:eastAsia="zh-CN"/>
        </w:rPr>
      </w:r>
    </w:p>
    <w:p>
      <w:pPr>
        <w:pStyle w:val="Normal"/>
        <w:spacing w:before="0" w:after="0"/>
        <w:ind w:left="6096" w:hanging="0"/>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Приложение 1</w:t>
      </w:r>
    </w:p>
    <w:p>
      <w:pPr>
        <w:pStyle w:val="Normal"/>
        <w:spacing w:before="0" w:after="0"/>
        <w:ind w:left="6096" w:hanging="0"/>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к постановлению Администрации</w:t>
      </w:r>
    </w:p>
    <w:p>
      <w:pPr>
        <w:pStyle w:val="Normal"/>
        <w:spacing w:before="0" w:after="0"/>
        <w:ind w:left="6096" w:hanging="0"/>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городского округа Фрязино</w:t>
      </w:r>
    </w:p>
    <w:p>
      <w:pPr>
        <w:pStyle w:val="Normal"/>
        <w:spacing w:before="0" w:after="0"/>
        <w:ind w:left="6096" w:hanging="0"/>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 xml:space="preserve">от </w:t>
      </w:r>
      <w:r>
        <w:rPr>
          <w:rFonts w:eastAsia="Calibri" w:cs="Times New Roman" w:ascii="Times New Roman" w:hAnsi="Times New Roman"/>
          <w:sz w:val="24"/>
          <w:szCs w:val="24"/>
          <w:lang w:eastAsia="zh-CN"/>
        </w:rPr>
        <w:t>10.09.2025</w:t>
      </w:r>
      <w:r>
        <w:rPr>
          <w:rFonts w:eastAsia="Calibri" w:cs="Times New Roman" w:ascii="Times New Roman" w:hAnsi="Times New Roman"/>
          <w:sz w:val="24"/>
          <w:szCs w:val="24"/>
          <w:lang w:eastAsia="zh-CN"/>
        </w:rPr>
        <w:t xml:space="preserve"> № </w:t>
      </w:r>
      <w:r>
        <w:rPr>
          <w:rFonts w:eastAsia="Calibri" w:cs="Times New Roman" w:ascii="Times New Roman" w:hAnsi="Times New Roman"/>
          <w:sz w:val="24"/>
          <w:szCs w:val="24"/>
          <w:lang w:eastAsia="zh-CN"/>
        </w:rPr>
        <w:t>831</w:t>
      </w:r>
    </w:p>
    <w:p>
      <w:pPr>
        <w:pStyle w:val="Normal"/>
        <w:spacing w:before="0" w:after="0"/>
        <w:ind w:left="6096" w:hanging="0"/>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r>
    </w:p>
    <w:p>
      <w:pPr>
        <w:pStyle w:val="Normal"/>
        <w:widowControl w:val="false"/>
        <w:tabs>
          <w:tab w:val="clear" w:pos="708"/>
          <w:tab w:val="left" w:pos="1701" w:leader="none"/>
        </w:tabs>
        <w:spacing w:lineRule="auto" w:line="240" w:before="0" w:after="0"/>
        <w:jc w:val="center"/>
        <w:rPr>
          <w:rFonts w:ascii="Arial" w:hAnsi="Arial" w:eastAsia="Calibri" w:cs="Arial"/>
          <w:b/>
          <w:sz w:val="24"/>
          <w:szCs w:val="24"/>
          <w:lang w:eastAsia="ru-RU"/>
        </w:rPr>
      </w:pPr>
      <w:r>
        <w:rPr>
          <w:rFonts w:eastAsia="Calibri" w:cs="Arial" w:ascii="Arial" w:hAnsi="Arial"/>
          <w:b/>
          <w:sz w:val="24"/>
          <w:szCs w:val="24"/>
          <w:lang w:eastAsia="ru-RU"/>
        </w:rPr>
      </w:r>
    </w:p>
    <w:p>
      <w:pPr>
        <w:pStyle w:val="Normal"/>
        <w:widowControl w:val="false"/>
        <w:tabs>
          <w:tab w:val="clear" w:pos="708"/>
          <w:tab w:val="left" w:pos="1701" w:leader="none"/>
        </w:tabs>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b/>
          <w:sz w:val="24"/>
          <w:szCs w:val="24"/>
          <w:lang w:eastAsia="ru-RU"/>
        </w:rPr>
        <w:t>«1. КРАТКАЯ ХАРАКТЕРИСТИКА</w:t>
      </w:r>
    </w:p>
    <w:p>
      <w:pPr>
        <w:pStyle w:val="Normal"/>
        <w:widowControl w:val="false"/>
        <w:tabs>
          <w:tab w:val="clear" w:pos="708"/>
          <w:tab w:val="left" w:pos="1701" w:leader="none"/>
        </w:tabs>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b/>
          <w:sz w:val="24"/>
          <w:szCs w:val="24"/>
          <w:lang w:eastAsia="ru-RU"/>
        </w:rPr>
        <w:t>сферы реализации муниципальной программы, в том числе формулировка</w:t>
      </w:r>
    </w:p>
    <w:p>
      <w:pPr>
        <w:pStyle w:val="Normal"/>
        <w:widowControl w:val="false"/>
        <w:tabs>
          <w:tab w:val="clear" w:pos="708"/>
          <w:tab w:val="left" w:pos="1701" w:leader="none"/>
        </w:tabs>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b/>
          <w:sz w:val="24"/>
          <w:szCs w:val="24"/>
          <w:lang w:eastAsia="ru-RU"/>
        </w:rPr>
        <w:t>основных проблем в указанной сфере</w:t>
      </w:r>
    </w:p>
    <w:p>
      <w:pPr>
        <w:pStyle w:val="Normal"/>
        <w:widowControl w:val="false"/>
        <w:tabs>
          <w:tab w:val="clear" w:pos="708"/>
          <w:tab w:val="left" w:pos="1701" w:leader="none"/>
        </w:tabs>
        <w:spacing w:lineRule="auto" w:line="240" w:before="0" w:after="0"/>
        <w:jc w:val="both"/>
        <w:rPr>
          <w:rFonts w:ascii="Times New Roman" w:hAnsi="Times New Roman" w:eastAsia="Calibri" w:cs="Times New Roman"/>
          <w:b/>
          <w:sz w:val="24"/>
          <w:szCs w:val="24"/>
          <w:lang w:eastAsia="ru-RU"/>
        </w:rPr>
      </w:pPr>
      <w:r>
        <w:rPr>
          <w:rFonts w:eastAsia="Calibri" w:cs="Times New Roman" w:ascii="Times New Roman" w:hAnsi="Times New Roman"/>
          <w:b/>
          <w:sz w:val="24"/>
          <w:szCs w:val="24"/>
          <w:lang w:eastAsia="ru-RU"/>
        </w:rPr>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Фрязино - город науки и современных технологий. Указом Президента Российской Федерации от 29 декабря 2003 года № 1531 «О присвоении статуса наукограда Российской Федерации г. Фрязино Московской области» Фрязино присвоен статус наукограда. Город обладает мощным научно-производственным комплексом, здесь сосредоточены ведущие в своих отраслях предприятия промышленности, науки и смежных отраслей.</w:t>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Научно-промышленному комплексу принадлежит одна из ведущих ролей в экономике городского округа Фрязино Московской области. На предприятиях научно-производственного комплекса в городском округе работает более 12 тыс. человек, или 60% занятого в экономике населения городского округа.</w:t>
      </w:r>
    </w:p>
    <w:p>
      <w:pPr>
        <w:pStyle w:val="Normal"/>
        <w:tabs>
          <w:tab w:val="clear" w:pos="708"/>
          <w:tab w:val="left" w:pos="709" w:leader="none"/>
        </w:tabs>
        <w:spacing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Рост инвестиций обусловлен прежде всего реализацией программы модернизации и технического перевооружения градообразующего предприятия АО «НПП «Исток» им. Шокина».</w:t>
      </w:r>
    </w:p>
    <w:p>
      <w:pPr>
        <w:pStyle w:val="Normal"/>
        <w:tabs>
          <w:tab w:val="clear" w:pos="708"/>
          <w:tab w:val="left" w:pos="709" w:leader="none"/>
        </w:tabs>
        <w:spacing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 xml:space="preserve">Отсутствие резервных территорий ограничивает развитие существующих предприятий, строительство новых производственных площадей и жилых кварталов, что существенно влияет на основные социально-экономические показатели городского округа.  </w:t>
      </w:r>
    </w:p>
    <w:p>
      <w:pPr>
        <w:pStyle w:val="Normal"/>
        <w:tabs>
          <w:tab w:val="clear" w:pos="708"/>
          <w:tab w:val="left" w:pos="709" w:leader="none"/>
        </w:tabs>
        <w:spacing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Подпрограмма «Инвестиции» муниципальной программы создана в развитие комплексной программы инновационного развития экономики городского округа как наукограда Российской Федерации. Полная и эффективная реализация мероприятий настоящей подпрограммы муниципальной программы будет способствовать реализации оптимистического сценария развития экономики городского округа Фрязино Московской области.</w:t>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ab/>
        <w:t>Реализация подпрограммы привлечения инвестиций, создания условий для устойчивого экономического развития позволит увеличить объем выпускаемой продукции по промышленным видам деятельности, увеличить доли продукции высокотехнологичных и наукоемких отраслей экономики, создать новые высокотехнологичные рабочие места.</w:t>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В последние годы важным сегментом экономики городского округа стал малый и средний бизнес, который существенно влияет на показатели объемов производства, занятости и доходов населения, насыщая экономическую сферу товарами и услугами.</w:t>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ab/>
        <w:t>В малом и среднем предпринимательстве трудится около 27% от численности работников, занятых в экономике городского округа. Доля субъектов малого и среднего предпринимательства в общем объеме выпускаемой организациями городского округа Фрязино Московской области продукции составляет около 10%.</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В городском округе Фрязино Московской области в рамках национального проекта «Малое и среднее предпринимательство и поддержка индивидуальной предпринимательской инициативы» создан и успешно функционирует центр оказания услуг «Мой бизнес». Центр «Мой бизнес» - доступная и удобная инфраструктура поддержки малого и среднего бизнеса, ориентированная на помощь предпринимателям в создании и развитии бизнеса на любой стадии.</w:t>
      </w:r>
    </w:p>
    <w:p>
      <w:pPr>
        <w:pStyle w:val="Normal"/>
        <w:spacing w:before="0" w:after="0"/>
        <w:ind w:firstLine="567"/>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ab/>
        <w:t xml:space="preserve">Для продвижения продукции малого и среднего предпринимательства в городском округе ежегодно проводятся выставки и конференции, в том числе по инновационным направлениям (нанотехнологии, информационные технологии, оптоэлектроника, электроника СВЧ и другие). Предприятия городского округа принимают активное участие в областных, федеральных и международных выставках, ярмарках и форумах. </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Количество малых и средних предприятий, объёмы выпускаемой ими продукции, товаров и услуг, а также налоговые поступления в бюджеты всех уровней от их деятельности ежегодно увеличиваются. </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Предприниматели взяли на себя значительную долю забот в обеспечении населения городского округа необходимыми товарами и услугами, создании новых рабочих мест, изменении облика городского округа.</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Темпы роста численности субъектов малого и среднего предпринимательства, количество созданных рабочих мест, увеличение объемов выпуска продукции за последние годы свидетельствуют о развитии во Фрязино Московской области этого сектора экономики.</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Наиболее острыми проблемами сектора малого и среднего бизнеса городского округа являются:</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дефицит производственных площадей и земельных участков для их строительства;</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отсутствие необходимого стартового капитала для закупки необходимого оборудования и материалов;</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нехватка профессионально обученных специалистов (менеджеров, маркетологов, инженеров, техников, лаборантов, метрологов и т. д.);</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проблемы кредитования и недоступность лизинговых услуг;</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высокая арендная плата коммерческой недвижимости;</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высокая конкуренция со стороны крупного бизнеса.</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Наличие в городе мощного интеллектуального и промышленного потенциала позволяет связывать перспективы дальнейшего развития малого и среднего предпринимательства с развитием высокотехнологичных производств, ориентированных на выпуск конкурентоспособной наукоемкой продукции как для нужд городского округа и области, так и для других регионов России и за рубежом.</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Анализ факторов, влияющих на развитие малого и среднего предпринимательства, показывает, что существующие проблемы можно решить объединенными усилиями и согласованными действиями самих субъектов малого и среднего предпринимательства, их общественных объединений, структур его поддержки, органов местного самоуправления городского округа.</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 В числе таких мероприятий:</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оказание субъектам малого и среднего предпринимательства финансовой поддержки в реализации наиболее эффективных бизнес-проектов по приоритетным отраслям развития;</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формирование специализированных финансово-кредитных и инвестиционных институтов и механизмов;</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имущественная поддержка субъектов малого и среднего предпринимательства;</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развитие выставочно-ярмарочной деятельности субъектов малого и среднего предпринимательства;</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дальнейшее развитие инфраструктуры, обеспечивающей консалтинговое сопровождение проектов малого и среднего предпринимательства, включая бизнес-центры и бизнес-инкубаторы;</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информационное и научно-методическое обеспечение малого и среднего предпринимательства;</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развитие системы подготовки кадров для предпринимательской деятельности.</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Всем выше перечисленным и обусловлена необходимость принятия настоящей подпрограммы.</w:t>
      </w:r>
    </w:p>
    <w:p>
      <w:pPr>
        <w:pStyle w:val="Normal"/>
        <w:spacing w:before="0" w:after="0"/>
        <w:ind w:firstLine="567"/>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ab/>
        <w:t xml:space="preserve">Реализация подпрограммы развития малого и среднего предпринимательства позволит увеличить количество действующих предприятий малого и среднего бизнеса в городском округе Фрязино Московской области, увеличить численность работающих на малых и средних предприятиях, увеличить доходы предприятий и долю налоговых отчислений в бюджеты всех уровней, а также решить ряд существующих проблем, ограничивающих возможность развития субъектов малого и среднего предпринимательства </w:t>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Потребительский рынок городского округа Фрязино функционирует как составная часть единого комплекса городского хозяйства. Его главные задачи - создание условий для удовлетворения спроса населения на потребительские товары и услуги, обеспечение качества и безопасности их предоставления, облегчение доступа к товарам и услугам для всех жителей городского округа.</w:t>
      </w:r>
    </w:p>
    <w:p>
      <w:pPr>
        <w:pStyle w:val="Normal"/>
        <w:spacing w:before="0" w:after="0"/>
        <w:ind w:left="-142" w:firstLine="568"/>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Малый бизнес играет существенную роль в развитии потребительского рынка в городском округе Фрязино Московской области.</w:t>
      </w:r>
    </w:p>
    <w:p>
      <w:pPr>
        <w:pStyle w:val="Normal"/>
        <w:spacing w:before="0" w:after="0"/>
        <w:ind w:left="-142" w:firstLine="568"/>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Проблемой развития малого и среднего предпринимательства потребительского рынка городского округа Фрязино Московской области по-прежнему остается недостаток финансовых средств. Процесс кредитования малого и среднего бизнеса в торговле развит недостаточно и характеризуется высокими процентными ставками по кредитам, большим количеством документов, необходимых для доступа к кредитным ресурсам, короткими сроками возврата кредита.</w:t>
      </w:r>
    </w:p>
    <w:p>
      <w:pPr>
        <w:pStyle w:val="Normal"/>
        <w:spacing w:before="0" w:after="0"/>
        <w:ind w:left="-142" w:firstLine="568"/>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Помимо розничной торговли в стационарных объектах торговое обслуживание жителей городского округа Фрязино Московской области осуществляется посредством нестационарной и ярмарочной торговли.</w:t>
      </w:r>
    </w:p>
    <w:p>
      <w:pPr>
        <w:pStyle w:val="Normal"/>
        <w:spacing w:before="0" w:after="0"/>
        <w:ind w:left="-142" w:firstLine="568"/>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В городском округе Фрязино Московской области функционирует около 80 объектов нестационарной торговли, это павильоны и киоски, бахчевые сетки, передвижные сооружения.</w:t>
      </w:r>
    </w:p>
    <w:p>
      <w:pPr>
        <w:pStyle w:val="Normal"/>
        <w:spacing w:before="0" w:after="0"/>
        <w:ind w:left="-142" w:firstLine="568"/>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Ярмарочная торговля обеспечивает потребителя свежей продукцией производителей из других регионов Российской Федерации, а последним, в свою очередь, дает возможность реализовать свой товар. Развитие данного вида торговли сдерживается отсутствием площадок, соответствующих требованиям законодательства Московской области и приспособленных для ярмарочной торговли.</w:t>
      </w:r>
    </w:p>
    <w:p>
      <w:pPr>
        <w:pStyle w:val="Normal"/>
        <w:spacing w:before="0" w:after="0"/>
        <w:ind w:left="-142" w:firstLine="568"/>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Интенсивно развивается и материально-техническая база общественного питания. В настоящее время на территории округа функционирует предприятия общепита - кафе, столовые, рестораны. Предприятия общественного питания имеют разную ценовую политику и категорию обслуживания, что позволяет удовлетворить пожелания различных категорий граждан.</w:t>
      </w:r>
    </w:p>
    <w:p>
      <w:pPr>
        <w:pStyle w:val="Normal"/>
        <w:spacing w:before="0" w:after="0"/>
        <w:ind w:left="-142" w:firstLine="568"/>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В результате реализации программы в городском округе Фрязино Московской области должны быть достигнуты установленные нормативы минимальной обеспеченности населения площадью торговых объектов, общественного питания и бытовых услуг.</w:t>
      </w:r>
    </w:p>
    <w:p>
      <w:pPr>
        <w:pStyle w:val="Normal"/>
        <w:spacing w:before="0" w:after="0"/>
        <w:ind w:left="-142" w:firstLine="568"/>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Повышение территориальной доступности товаров для потребителей городского округа Фрязино Московской области будет достигнуто также за счет сохранения и упорядочения размещения нестационарных торговых объектов.</w:t>
      </w:r>
    </w:p>
    <w:p>
      <w:pPr>
        <w:pStyle w:val="Normal"/>
        <w:spacing w:before="0" w:after="0"/>
        <w:ind w:left="-142" w:firstLine="568"/>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Повышение ценовой доступности услуг для социально незащищенных категорий граждан будет достигнуто за счет расширения ярмарочной торговли. На территории городского округа Фрязино Московской области планируется организовать специализированную тематическую ярмарочную торговлю, приуроченную к определенным временам года и праздникам.</w:t>
      </w:r>
    </w:p>
    <w:p>
      <w:pPr>
        <w:pStyle w:val="Normal"/>
        <w:spacing w:before="0" w:after="0"/>
        <w:ind w:left="-142" w:firstLine="568"/>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В результате реализации подпрограммы «Развитие потребительского рынка и услуг на территории муниципального образования Московской области» в городском округе Фрязино должны быть достигнуты установленные нормативы минимальной обеспеченности населения площадью торговых объектов, общественного питания и бытовых услуг.</w:t>
      </w:r>
    </w:p>
    <w:p>
      <w:pPr>
        <w:pStyle w:val="Normal"/>
        <w:spacing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Приоритетным направлением развития экономики городского округа Фрязино Московской области является развитие конкуренции. Осуществление закупок для обеспечения муниципальных нужд составляет значительный сегмент муниципальной экономики, воздействие на который позволяет способствовать развитию конкуренции во всех отраслях. Закупочная деятельность в рамках контрактной системы обеспечивает не только удовлетворение потребностей государственных и муниципальных органов в товарах, работах, услугах, необходимых для осуществления их функций. Одновременно, посредством контрактной системы реализуются механизмы поддержки отечественных производителей и субъектов малого предпринимательства, антимонопольного регулирования и оптимизации процессов формирования и исполнения бюджета. Основная проблема заключается в принятии управленческих решений, направленных на развитие конкуренции с учетом оценки ее уровня со стороны хозяйствующих субъектов (предпринимателей) в рамках концепции «чуткой власти». Отдельно следует отметить риски, связанные с изменениями законодательства Российской Федерации.</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Одним из основополагающих принципов развития конкуренции является обеспечение равного доступа к информации о деятельности органов местного самоуправления городского округа Фрязино Московской области юридическим и физическим лицам. Возможность своевременного и оперативного получения информации о новых правовых актах, информации о государственных и муниципальных закупках, проведении конкурентных процедур должна быть предоставлена любому юридическому и физическому лицу.</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Одним из важнейших направлений развития конкуренции является обеспечение конкуренции при осуществлении закупок для нужд заказчиков городского округа Фрязино Московской области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Одной из приоритетных задач, решаемых в рамках обеспечения конкуренции при осуществлении закупок, является централизация закупок для нужд заказчиков городского округа Фрязино Московской области. С этой целью создано Муниципальное казенное учреждение «Центр муниципальных закупок»</w:t>
      </w:r>
      <w:r>
        <w:rPr>
          <w:rFonts w:eastAsia="Calibri" w:cs="Times New Roman" w:ascii="Times New Roman" w:hAnsi="Times New Roman"/>
          <w:i/>
          <w:sz w:val="24"/>
          <w:szCs w:val="24"/>
          <w:lang w:eastAsia="ru-RU"/>
        </w:rPr>
        <w:t xml:space="preserve">, </w:t>
      </w:r>
      <w:r>
        <w:rPr>
          <w:rFonts w:eastAsia="Calibri" w:cs="Times New Roman" w:ascii="Times New Roman" w:hAnsi="Times New Roman"/>
          <w:sz w:val="24"/>
          <w:szCs w:val="24"/>
          <w:lang w:eastAsia="ru-RU"/>
        </w:rPr>
        <w:t>уполномоченное на определение поставщиков (подрядчиков, исполнителей) для муниципальных заказчиков и бюджетных учреждений городского округа Фрязино Московской области – Уполномоченное учреждение.</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Среди основных проблем обеспечения конкуренции при осуществлении закупок можно назвать:</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недостаточный уровень квалификации сотрудников контрактных служб (контрактных управляющих);</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недостаточность информирования общественности о предполагаемых потребностях в товарах (работах, услугах);</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неэффективность самостоятельного проведения закупок небольшого объема;</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несовершенство и недостаточность правовых актов в сфере закупок</w:t>
        <w:br/>
        <w:t>на местном уровне;</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потребность в повышении качества контроля закупочной деятельности заказчиков.</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Выявленные проблемы демонстрируют необходимость дальнейшей организации и реализации комплекса мер по обеспечению конкуренции при осуществлении закупок для нужд заказчиков городского округа Фрязино Московской области.</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В том числе, информирование общественности о предполагаемых потребностях в товарах (работах, услугах) в рамках размещения информации об осуществлении закупок, разработка и актуализация правовых актов в сфере закупок, своевременное повышение квалификации сотрудников контрактных служб (контрактных управляющих), анализ и мониторинг закупочной деятельности заказчиков, организация проведения совместных закупок.</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Целью реализации мероприятий по обеспечению конкуренции при осуществлении закупок является открытость и прозрачность закупок, профессионализм и ответственность заказчиков за результативность обеспечения муниципальных нужд, эффективность осуществления закупок. </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Развитие конкуренции осуществляется также в рамках внедрения стандарта развития конкуренции, разработанного в рамках реализации Распоряжения Правительства Российской Федерации от 02.09.2021 № 2424-р «Об утверждении Национального плана («дорожной карты») развития конкуренции в Российской Федерации на 2021-2025 годы».</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Между Комитетом по конкурентной политике Московской области, Управлением Федеральной антимонопольной службы по Московской области и администрацией городского округа Фрязино Московской области заключено Соглашение о внедрении стандарта развития конкуренции.</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Предметом данного соглашения является обеспечение взаимодействия между Сторонами в целях внедрения стандарта развития конкуренции.</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Внедрение стандарта развития конкуренции в городском округе Фрязино Московской области подразумевает выполнение следующих 5 требований:</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а) определение уполномоченного органа;</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б) утверждение и корректировку перечня рынков;</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в) разработка и актуализация «дорожной карты»;</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г) проведение мониторинга рынков;</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 xml:space="preserve">д) информирование субъектов предпринимательской деятельности </w:t>
        <w:br/>
        <w:t xml:space="preserve">и потребителей товаров, работ и услуг о состоянии конкурентной среды </w:t>
        <w:br/>
        <w:t>и деятельности по содействию развитию конкуренции.</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Ежегодно подготавливается и размещается в информационно-телекоммуникационной сети «Интернет» информационный доклад о внедрении стандарта развития конкуренции на территории городского округа Фрязино Московской области.</w:t>
      </w:r>
    </w:p>
    <w:p>
      <w:pPr>
        <w:pStyle w:val="Normal"/>
        <w:spacing w:before="0" w:after="0"/>
        <w:ind w:firstLine="567"/>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Вся информация о внедрении стандарта развития конкуренции публикуется на официальном сайте городского округа Фрязино Московской области, в разделе «Инфраструктура. Развитие конкуренции» (</w:t>
      </w:r>
      <w:r>
        <w:rPr>
          <w:rFonts w:eastAsia="Calibri" w:cs="Times New Roman" w:ascii="Times New Roman" w:hAnsi="Times New Roman"/>
          <w:color w:val="0563C1"/>
          <w:sz w:val="24"/>
          <w:szCs w:val="24"/>
          <w:u w:val="single"/>
          <w:lang w:eastAsia="ru-RU"/>
        </w:rPr>
        <w:t>https://adm-fryazino.ru/infrastructure/Razvitie_konk</w:t>
      </w:r>
      <w:r>
        <w:rPr>
          <w:rFonts w:eastAsia="Calibri" w:cs="Times New Roman" w:ascii="Times New Roman" w:hAnsi="Times New Roman"/>
          <w:sz w:val="24"/>
          <w:szCs w:val="24"/>
          <w:lang w:eastAsia="ru-RU"/>
        </w:rPr>
        <w:t xml:space="preserve">). </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widowControl w:val="false"/>
        <w:numPr>
          <w:ilvl w:val="1"/>
          <w:numId w:val="2"/>
        </w:numPr>
        <w:tabs>
          <w:tab w:val="clear" w:pos="708"/>
          <w:tab w:val="left" w:pos="1701" w:leader="none"/>
        </w:tabs>
        <w:suppressAutoHyphens w:val="true"/>
        <w:spacing w:lineRule="auto" w:line="240" w:before="0" w:after="0"/>
        <w:ind w:left="1146" w:hanging="154"/>
        <w:jc w:val="center"/>
        <w:rPr>
          <w:rFonts w:ascii="Times New Roman" w:hAnsi="Times New Roman" w:eastAsia="Calibri" w:cs="Times New Roman"/>
          <w:sz w:val="24"/>
          <w:szCs w:val="24"/>
        </w:rPr>
      </w:pPr>
      <w:r>
        <w:rPr>
          <w:rFonts w:eastAsia="Calibri" w:cs="Times New Roman" w:ascii="Times New Roman" w:hAnsi="Times New Roman"/>
          <w:b/>
          <w:sz w:val="24"/>
          <w:szCs w:val="24"/>
          <w:lang w:eastAsia="ru-RU"/>
        </w:rPr>
        <w:t xml:space="preserve">Инерционный прогноз развития соответствующей сферы реализации </w:t>
        <w:br/>
        <w:t>муниципальной программы</w:t>
      </w:r>
    </w:p>
    <w:p>
      <w:pPr>
        <w:pStyle w:val="Normal"/>
        <w:widowControl w:val="false"/>
        <w:tabs>
          <w:tab w:val="clear" w:pos="708"/>
          <w:tab w:val="left" w:pos="1701" w:leader="none"/>
        </w:tabs>
        <w:spacing w:lineRule="auto" w:line="240" w:before="0" w:after="0"/>
        <w:ind w:left="1146" w:hanging="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Полная и эффективная реализация мероприятий настоящей муниципальной программы будет способствовать реализации оптимистического сценария развития экономики городского округа Фрязино Московской области.</w:t>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 xml:space="preserve">Развитие малого и среднего предпринимательства позволит увеличить количество действующих предприятий малого и среднего бизнеса в городском округе Фрязино Московской области, увеличить численность работающих на малых и средних предприятиях. К 2027 году количество малых и средних предприятий городского округа на 10 тысяч жителей составит 431,1 единиц. Доля среднесписочной численности работников (без внешних совместителей) субъектов малого и среднего предпринимательства в среднесписочной численности работников (без внешних совместителе) всех предприятий и организаций сохранится на уровне 26,51%. Количество вновь созданных предприятий малого и среднего бизнеса ожидается ежегодно 340-420 единиц (с учетом ИП). </w:t>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Развитие потребительского рынка и услуг в городском округе Фрязино Московской области позволит достигнуть установленных нормативов минимальной обеспеченности населения площадью торговых объектов. Обеспеченность населения площадью торговых объектов к 2027 году составит 672,0 кв. м/тыс. человек, обеспеченность населения предприятиями общественного питания к 2027 году составит 38,1 пос. мест/тыс. человек, обеспеченность населения предприятиями бытового обслуживания к 2027 году достигнет 6,74 раб. мест/тыс. человек.</w:t>
      </w:r>
    </w:p>
    <w:p>
      <w:pPr>
        <w:pStyle w:val="Normal"/>
        <w:tabs>
          <w:tab w:val="clear" w:pos="708"/>
          <w:tab w:val="left" w:pos="567" w:leader="none"/>
        </w:tabs>
        <w:spacing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Привлечение инвестиций, создание условий для устойчивого экономического развития городского округа позволит увеличить объем выпускаемой продукции по промышленным видам деятельности. Инвестиции в основной капитал по инвестиционным проектам (без учета бюджетных инвестиций и жилищного строительства) на душу населения составят 35,4 тыс. руб. Количество созданных рабочих мест, всего от 620 до 700 мест ежегодно. Увеличение среднемесячной заработной платы работников организаций, не относящихся к субъектам малого предпринимательства, ежегодно составит не менее 104%.</w:t>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Развитие конкуренции направлено на оценку, выявление слабых сторон в конкурентной среде экономики городского округа, а также на формирование с применением программно-целевого метода перечня мероприятий по развитию конкуренции в экономике городского округа Фрязино Московской области.</w:t>
      </w:r>
    </w:p>
    <w:p>
      <w:pPr>
        <w:pStyle w:val="Normal"/>
        <w:spacing w:before="0" w:after="0"/>
        <w:ind w:firstLine="567"/>
        <w:jc w:val="both"/>
        <w:rPr>
          <w:rFonts w:ascii="Times New Roman" w:hAnsi="Times New Roman" w:eastAsia="Calibri" w:cs="Times New Roman"/>
          <w:sz w:val="24"/>
          <w:szCs w:val="24"/>
        </w:rPr>
      </w:pPr>
      <w:r>
        <w:rPr>
          <w:rFonts w:eastAsia="Times New Roman" w:cs="Times New Roman" w:ascii="Times New Roman" w:hAnsi="Times New Roman"/>
          <w:sz w:val="24"/>
          <w:szCs w:val="24"/>
          <w:lang w:eastAsia="ru-RU"/>
        </w:rPr>
        <w:tab/>
        <w:t xml:space="preserve">Одной из устойчивых тенденций экономического развития городского округа Фрязино Московской области является рост расходов местного бюджета на осуществление закупок для обеспечения муниципальных нужд в рамках контрактной системы в сфере закупок, функционирующей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Таким образом, </w:t>
      </w:r>
      <w:r>
        <w:rPr>
          <w:rFonts w:eastAsia="Calibri" w:cs="Times New Roman" w:ascii="Times New Roman" w:hAnsi="Times New Roman"/>
          <w:sz w:val="24"/>
          <w:szCs w:val="24"/>
        </w:rPr>
        <w:t xml:space="preserve">развитие конкуренции является базовым условием для экономического, технологического развития и обеспечения конкурентных подходов в муниципальном управлении. Мероприятия Подпрограммы 2 включают в себя оценку уровня эффективности, результативности и обеспечения гласности и прозрачности сферы закупок. </w:t>
      </w:r>
      <w:r>
        <w:rPr>
          <w:rFonts w:eastAsia="Calibri" w:cs="Times New Roman" w:ascii="Times New Roman" w:hAnsi="Times New Roman"/>
          <w:sz w:val="24"/>
          <w:szCs w:val="24"/>
          <w:lang w:eastAsia="ru-RU"/>
        </w:rPr>
        <w:t>Планируемые результаты реализации подпрограммы следующие:</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Доля обоснованных, частично обоснованных жалоб в ФАС России (от общего количества опубликованных торгов) 2,1% к 2027 году;</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Доля несостоявшихся торгов от общего количества объявленных торгов 29% к 2027 году;</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Среднее количество участников на торгах 4,8 к 2027 году;</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Доля экономии бюджетных денежных средств в результате проведения торгов от общей суммы объявленных торгов 9% к 2027 ежегодно;</w:t>
      </w:r>
    </w:p>
    <w:p>
      <w:pPr>
        <w:pStyle w:val="Normal"/>
        <w:spacing w:before="0" w:after="0"/>
        <w:ind w:firstLine="567"/>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Доля закупок среди субъектов малого и среднего предпринимательства, социально ориентированных некоммерческих организаций 45% к 2027 ежегодно.</w:t>
      </w:r>
    </w:p>
    <w:p>
      <w:p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lang w:eastAsia="ru-RU"/>
        </w:rPr>
        <w:tab/>
        <w:t xml:space="preserve">Решение поставленных задач носит долговременный характер, что обусловлено необходимостью формирования механизмов развития конкуренции в городском округе в целом и применение данных механизмов в качестве инструментов для достижения задач социально-экономического развития городского округа Фрязино Московской области. </w:t>
      </w:r>
    </w:p>
    <w:p>
      <w:pPr>
        <w:sectPr>
          <w:headerReference w:type="default" r:id="rId3"/>
          <w:headerReference w:type="first" r:id="rId4"/>
          <w:type w:val="nextPage"/>
          <w:pgSz w:w="11906" w:h="16838"/>
          <w:pgMar w:left="1134" w:right="567" w:gutter="0" w:header="709" w:top="766" w:footer="0" w:bottom="1134"/>
          <w:pgNumType w:fmt="decimal"/>
          <w:formProt w:val="false"/>
          <w:titlePg/>
          <w:textDirection w:val="lrTb"/>
          <w:docGrid w:type="default" w:linePitch="360" w:charSpace="4096"/>
        </w:sectPr>
        <w:pStyle w:val="Normal"/>
        <w:widowControl w:val="false"/>
        <w:tabs>
          <w:tab w:val="clear" w:pos="708"/>
          <w:tab w:val="left" w:pos="567" w:leader="none"/>
        </w:tabs>
        <w:spacing w:lineRule="auto" w:line="240" w:before="0" w:after="0"/>
        <w:jc w:val="both"/>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ab/>
        <w:t>Развитие конкуренции обеспечит создание дополнительных возможностей для эффективного наращивания социально-экономического потенциала городского округа Фрязино Московской области; значительного увеличения объемов производства и реализации конкурентоспособной продукции, работ и услуг; роста валового регионального продукта; повышения уровня и качества жизни населения.».</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Приложение 2</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к постановлению Администрации</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городского округа Фрязино</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 xml:space="preserve">от </w:t>
      </w:r>
      <w:r>
        <w:rPr>
          <w:rFonts w:eastAsia="Calibri" w:cs="Times New Roman" w:ascii="Times New Roman" w:hAnsi="Times New Roman"/>
          <w:sz w:val="24"/>
          <w:szCs w:val="24"/>
          <w:lang w:eastAsia="zh-CN"/>
        </w:rPr>
        <w:t>10.09.2025</w:t>
      </w:r>
      <w:r>
        <w:rPr>
          <w:rFonts w:eastAsia="Calibri" w:cs="Times New Roman" w:ascii="Times New Roman" w:hAnsi="Times New Roman"/>
          <w:sz w:val="24"/>
          <w:szCs w:val="24"/>
          <w:lang w:eastAsia="zh-CN"/>
        </w:rPr>
        <w:t xml:space="preserve"> № </w:t>
      </w:r>
      <w:r>
        <w:rPr>
          <w:rFonts w:eastAsia="Calibri" w:cs="Times New Roman" w:ascii="Times New Roman" w:hAnsi="Times New Roman"/>
          <w:sz w:val="24"/>
          <w:szCs w:val="24"/>
          <w:lang w:eastAsia="zh-CN"/>
        </w:rPr>
        <w:t>831</w:t>
      </w:r>
    </w:p>
    <w:p>
      <w:pPr>
        <w:pStyle w:val="Normal"/>
        <w:spacing w:before="0" w:after="0"/>
        <w:ind w:left="6096" w:firstLine="4961"/>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p>
      <w:pPr>
        <w:pStyle w:val="Normal"/>
        <w:spacing w:before="0" w:after="0"/>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p>
      <w:pPr>
        <w:pStyle w:val="Normal"/>
        <w:keepNext w:val="true"/>
        <w:spacing w:lineRule="auto" w:line="240" w:before="0" w:after="0"/>
        <w:ind w:left="391" w:hanging="0"/>
        <w:jc w:val="center"/>
        <w:rPr>
          <w:rFonts w:ascii="Times New Roman" w:hAnsi="Times New Roman" w:eastAsia="Calibri" w:cs="Times New Roman"/>
          <w:sz w:val="24"/>
          <w:szCs w:val="24"/>
        </w:rPr>
      </w:pPr>
      <w:r>
        <w:rPr>
          <w:rFonts w:eastAsia="Calibri" w:cs="Times New Roman" w:ascii="Times New Roman" w:hAnsi="Times New Roman"/>
          <w:b/>
          <w:sz w:val="24"/>
          <w:szCs w:val="24"/>
        </w:rPr>
        <w:t>«2. Целевые показатели реализации муниципальной программы</w:t>
      </w:r>
    </w:p>
    <w:p>
      <w:pPr>
        <w:pStyle w:val="Normal"/>
        <w:spacing w:before="0" w:after="0"/>
        <w:jc w:val="center"/>
        <w:rPr>
          <w:rFonts w:ascii="Times New Roman" w:hAnsi="Times New Roman" w:eastAsia="Calibri" w:cs="Times New Roman"/>
          <w:b/>
          <w:sz w:val="24"/>
          <w:szCs w:val="24"/>
          <w:lang w:eastAsia="ru-RU"/>
        </w:rPr>
      </w:pPr>
      <w:r>
        <w:rPr>
          <w:rFonts w:eastAsia="Calibri" w:cs="Times New Roman" w:ascii="Times New Roman" w:hAnsi="Times New Roman"/>
          <w:b/>
          <w:sz w:val="24"/>
          <w:szCs w:val="24"/>
          <w:lang w:eastAsia="ru-RU"/>
        </w:rPr>
        <w:t>«Предпринимательство» на 2023-2027 годы</w:t>
      </w:r>
    </w:p>
    <w:p>
      <w:pPr>
        <w:pStyle w:val="Normal"/>
        <w:spacing w:before="0" w:after="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bl>
      <w:tblPr>
        <w:tblW w:w="15027" w:type="dxa"/>
        <w:jc w:val="left"/>
        <w:tblInd w:w="-351" w:type="dxa"/>
        <w:tblLayout w:type="fixed"/>
        <w:tblCellMar>
          <w:top w:w="0" w:type="dxa"/>
          <w:left w:w="75" w:type="dxa"/>
          <w:bottom w:w="0" w:type="dxa"/>
          <w:right w:w="75" w:type="dxa"/>
        </w:tblCellMar>
        <w:tblLook w:firstRow="0" w:noVBand="0" w:lastRow="0" w:firstColumn="0" w:lastColumn="0" w:noHBand="0" w:val="0000"/>
      </w:tblPr>
      <w:tblGrid>
        <w:gridCol w:w="569"/>
        <w:gridCol w:w="3118"/>
        <w:gridCol w:w="1417"/>
        <w:gridCol w:w="1133"/>
        <w:gridCol w:w="852"/>
        <w:gridCol w:w="911"/>
        <w:gridCol w:w="789"/>
        <w:gridCol w:w="993"/>
        <w:gridCol w:w="1133"/>
        <w:gridCol w:w="992"/>
        <w:gridCol w:w="1561"/>
        <w:gridCol w:w="1558"/>
      </w:tblGrid>
      <w:tr>
        <w:trPr>
          <w:trHeight w:val="900" w:hRule="atLeast"/>
        </w:trPr>
        <w:tc>
          <w:tcPr>
            <w:tcW w:w="56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w:t>
            </w:r>
          </w:p>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п/п</w:t>
            </w:r>
          </w:p>
        </w:tc>
        <w:tc>
          <w:tcPr>
            <w:tcW w:w="311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Наименование целевых показателей</w:t>
            </w:r>
          </w:p>
        </w:tc>
        <w:tc>
          <w:tcPr>
            <w:tcW w:w="141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Тип показателя*</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Единица измерения</w:t>
            </w:r>
          </w:p>
        </w:tc>
        <w:tc>
          <w:tcPr>
            <w:tcW w:w="85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Базовое значение **</w:t>
            </w:r>
          </w:p>
        </w:tc>
        <w:tc>
          <w:tcPr>
            <w:tcW w:w="4818"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Планируемое значение по годам реализации программы</w:t>
            </w:r>
          </w:p>
        </w:tc>
        <w:tc>
          <w:tcPr>
            <w:tcW w:w="156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Ответственный за достижение показателя</w:t>
            </w:r>
          </w:p>
        </w:tc>
        <w:tc>
          <w:tcPr>
            <w:tcW w:w="155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Номер подпрограммы, мероприятий, оказывающих влияние на достижение показателя</w:t>
            </w:r>
          </w:p>
        </w:tc>
      </w:tr>
      <w:tr>
        <w:trPr>
          <w:trHeight w:val="459" w:hRule="atLeast"/>
        </w:trPr>
        <w:tc>
          <w:tcPr>
            <w:tcW w:w="56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311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1417"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85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911"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2023</w:t>
            </w:r>
          </w:p>
        </w:tc>
        <w:tc>
          <w:tcPr>
            <w:tcW w:w="78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2024</w:t>
            </w:r>
          </w:p>
        </w:tc>
        <w:tc>
          <w:tcPr>
            <w:tcW w:w="99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2025</w:t>
            </w:r>
          </w:p>
        </w:tc>
        <w:tc>
          <w:tcPr>
            <w:tcW w:w="11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2026</w:t>
            </w:r>
          </w:p>
        </w:tc>
        <w:tc>
          <w:tcPr>
            <w:tcW w:w="99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2027</w:t>
            </w:r>
          </w:p>
        </w:tc>
        <w:tc>
          <w:tcPr>
            <w:tcW w:w="1561" w:type="dxa"/>
            <w:vMerge w:val="continue"/>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155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r>
    </w:tbl>
    <w:p>
      <w:pPr>
        <w:pStyle w:val="Normal"/>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ab/>
        <w:tab/>
        <w:tab/>
        <w:tab/>
        <w:tab/>
        <w:tab/>
        <w:tab/>
        <w:tab/>
        <w:tab/>
        <w:tab/>
      </w:r>
    </w:p>
    <w:tbl>
      <w:tblPr>
        <w:tblW w:w="15026" w:type="dxa"/>
        <w:jc w:val="left"/>
        <w:tblInd w:w="-351" w:type="dxa"/>
        <w:tblLayout w:type="fixed"/>
        <w:tblCellMar>
          <w:top w:w="0" w:type="dxa"/>
          <w:left w:w="75" w:type="dxa"/>
          <w:bottom w:w="0" w:type="dxa"/>
          <w:right w:w="75" w:type="dxa"/>
        </w:tblCellMar>
        <w:tblLook w:firstRow="0" w:noVBand="0" w:lastRow="0" w:firstColumn="0" w:lastColumn="0" w:noHBand="0" w:val="0000"/>
      </w:tblPr>
      <w:tblGrid>
        <w:gridCol w:w="566"/>
        <w:gridCol w:w="3121"/>
        <w:gridCol w:w="1417"/>
        <w:gridCol w:w="1157"/>
        <w:gridCol w:w="828"/>
        <w:gridCol w:w="850"/>
        <w:gridCol w:w="852"/>
        <w:gridCol w:w="990"/>
        <w:gridCol w:w="1135"/>
        <w:gridCol w:w="993"/>
        <w:gridCol w:w="1557"/>
        <w:gridCol w:w="1559"/>
      </w:tblGrid>
      <w:tr>
        <w:trPr>
          <w:tblHeader w:val="true"/>
          <w:trHeight w:val="343"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31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w:t>
            </w:r>
          </w:p>
        </w:tc>
        <w:tc>
          <w:tcPr>
            <w:tcW w:w="11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w:t>
            </w:r>
          </w:p>
        </w:tc>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7</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8</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9</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10</w:t>
            </w:r>
          </w:p>
        </w:tc>
        <w:tc>
          <w:tcPr>
            <w:tcW w:w="15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11</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12</w:t>
            </w:r>
          </w:p>
        </w:tc>
      </w:tr>
      <w:tr>
        <w:trPr>
          <w:trHeight w:val="360"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14459" w:type="dxa"/>
            <w:gridSpan w:val="11"/>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3"/>
              </w:numPr>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Достижение устойчиво высоких темпов экономического роста, обеспечивающих повышение уровня жизни жителей городского округа Фрязино</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3121"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Объем инвестиций, привлеченных в основной капитал (без учета бюджетных инвестиций), на душу населения.</w:t>
            </w:r>
          </w:p>
        </w:tc>
        <w:tc>
          <w:tcPr>
            <w:tcW w:w="1417"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tc>
        <w:tc>
          <w:tcPr>
            <w:tcW w:w="1157"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тыс. рублей</w:t>
            </w:r>
          </w:p>
        </w:tc>
        <w:tc>
          <w:tcPr>
            <w:tcW w:w="828"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95,73</w:t>
            </w:r>
          </w:p>
        </w:tc>
        <w:tc>
          <w:tcPr>
            <w:tcW w:w="850"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33,0</w:t>
            </w:r>
          </w:p>
        </w:tc>
        <w:tc>
          <w:tcPr>
            <w:tcW w:w="852"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61,1</w:t>
            </w:r>
          </w:p>
        </w:tc>
        <w:tc>
          <w:tcPr>
            <w:tcW w:w="990"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96,0</w:t>
            </w:r>
          </w:p>
        </w:tc>
        <w:tc>
          <w:tcPr>
            <w:tcW w:w="1135" w:type="dxa"/>
            <w:tcBorders>
              <w:top w:val="single" w:sz="4" w:space="0" w:color="000080"/>
              <w:left w:val="single" w:sz="4" w:space="0" w:color="000080"/>
              <w:bottom w:val="single" w:sz="4" w:space="0" w:color="000080"/>
              <w:right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35,0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35,4</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Отдел инвестиционной политики и развития Наукограда администрации городского округа Фрязино</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1.08.01</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w:t>
            </w:r>
          </w:p>
        </w:tc>
        <w:tc>
          <w:tcPr>
            <w:tcW w:w="3121"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Увеличение среднемесячной заработной платы работников организаций, не относящихся к субъектам малого предпринимательства</w:t>
            </w:r>
          </w:p>
        </w:tc>
        <w:tc>
          <w:tcPr>
            <w:tcW w:w="1417"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tc>
        <w:tc>
          <w:tcPr>
            <w:tcW w:w="1157"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процент</w:t>
            </w:r>
          </w:p>
        </w:tc>
        <w:tc>
          <w:tcPr>
            <w:tcW w:w="828"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118,1</w:t>
            </w:r>
          </w:p>
        </w:tc>
        <w:tc>
          <w:tcPr>
            <w:tcW w:w="850"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104,0</w:t>
            </w:r>
          </w:p>
        </w:tc>
        <w:tc>
          <w:tcPr>
            <w:tcW w:w="852"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113</w:t>
            </w:r>
          </w:p>
        </w:tc>
        <w:tc>
          <w:tcPr>
            <w:tcW w:w="990"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106,0</w:t>
            </w:r>
          </w:p>
        </w:tc>
        <w:tc>
          <w:tcPr>
            <w:tcW w:w="1135" w:type="dxa"/>
            <w:tcBorders>
              <w:top w:val="single" w:sz="4" w:space="0" w:color="000080"/>
              <w:left w:val="single" w:sz="4" w:space="0" w:color="000080"/>
              <w:bottom w:val="single" w:sz="4" w:space="0" w:color="000080"/>
              <w:right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104,9</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105,2</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Отдел инвестиционной политики и развития Наукограда администрации городского округа Фрязино</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1.0</w:t>
            </w:r>
            <w:r>
              <w:rPr>
                <w:rFonts w:eastAsia="Calibri" w:cs="Times New Roman" w:ascii="Times New Roman" w:hAnsi="Times New Roman"/>
                <w:sz w:val="20"/>
                <w:szCs w:val="20"/>
                <w:lang w:val="en-US"/>
              </w:rPr>
              <w:t>2</w:t>
            </w:r>
            <w:r>
              <w:rPr>
                <w:rFonts w:eastAsia="Calibri" w:cs="Times New Roman" w:ascii="Times New Roman" w:hAnsi="Times New Roman"/>
                <w:sz w:val="20"/>
                <w:szCs w:val="20"/>
              </w:rPr>
              <w:t>.01</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w:t>
            </w:r>
          </w:p>
        </w:tc>
        <w:tc>
          <w:tcPr>
            <w:tcW w:w="3121"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Количество созданных рабочих мест</w:t>
            </w:r>
          </w:p>
        </w:tc>
        <w:tc>
          <w:tcPr>
            <w:tcW w:w="1417"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tc>
        <w:tc>
          <w:tcPr>
            <w:tcW w:w="1157"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единиц</w:t>
            </w:r>
          </w:p>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828"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448</w:t>
            </w:r>
          </w:p>
        </w:tc>
        <w:tc>
          <w:tcPr>
            <w:tcW w:w="850"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620</w:t>
            </w:r>
          </w:p>
        </w:tc>
        <w:tc>
          <w:tcPr>
            <w:tcW w:w="852"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810</w:t>
            </w:r>
          </w:p>
        </w:tc>
        <w:tc>
          <w:tcPr>
            <w:tcW w:w="990" w:type="dxa"/>
            <w:tcBorders>
              <w:top w:val="single" w:sz="4" w:space="0" w:color="000080"/>
              <w:left w:val="single" w:sz="4" w:space="0" w:color="000080"/>
              <w:bottom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706</w:t>
            </w:r>
          </w:p>
        </w:tc>
        <w:tc>
          <w:tcPr>
            <w:tcW w:w="1135" w:type="dxa"/>
            <w:tcBorders>
              <w:top w:val="single" w:sz="4" w:space="0" w:color="000080"/>
              <w:left w:val="single" w:sz="4" w:space="0" w:color="000080"/>
              <w:bottom w:val="single" w:sz="4" w:space="0" w:color="000080"/>
              <w:right w:val="single" w:sz="4" w:space="0" w:color="00008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700</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700</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Отдел инвестиционной политики и развития Наукограда администрации городского округа Фрязино</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1.03.01, 1.05.01</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w:t>
            </w:r>
          </w:p>
        </w:tc>
        <w:tc>
          <w:tcPr>
            <w:tcW w:w="31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Индекс совокупной результативности реализации мероприятий, направленных на развитие конкуренции</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Отраслевой показатель</w:t>
            </w:r>
          </w:p>
        </w:tc>
        <w:tc>
          <w:tcPr>
            <w:tcW w:w="11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единица</w:t>
            </w:r>
          </w:p>
        </w:tc>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Отдел инвестиционной политики и развития Наукограда администрации городского округа Фрязино</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2.50.01, 2.50.02, 2.50.03, 2.50.04, 2.50.05, 2.50.06, 2.51.01, 2.51.02.</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5.</w:t>
            </w:r>
          </w:p>
        </w:tc>
        <w:tc>
          <w:tcPr>
            <w:tcW w:w="3121"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417"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tc>
        <w:tc>
          <w:tcPr>
            <w:tcW w:w="1157"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процентов</w:t>
            </w:r>
          </w:p>
        </w:tc>
        <w:tc>
          <w:tcPr>
            <w:tcW w:w="828"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26,8</w:t>
            </w:r>
          </w:p>
        </w:tc>
        <w:tc>
          <w:tcPr>
            <w:tcW w:w="85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27,11</w:t>
            </w:r>
          </w:p>
        </w:tc>
        <w:tc>
          <w:tcPr>
            <w:tcW w:w="852"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28,01</w:t>
            </w:r>
          </w:p>
        </w:tc>
        <w:tc>
          <w:tcPr>
            <w:tcW w:w="99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27,83</w:t>
            </w:r>
          </w:p>
        </w:tc>
        <w:tc>
          <w:tcPr>
            <w:tcW w:w="1135"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26,48</w:t>
            </w:r>
          </w:p>
        </w:tc>
        <w:tc>
          <w:tcPr>
            <w:tcW w:w="99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26,51</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Отдел инвестиционной политики и развития Наукограда администрации городского округа Фрязино</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3.02.01, 3.02.03</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w:t>
            </w:r>
          </w:p>
        </w:tc>
        <w:tc>
          <w:tcPr>
            <w:tcW w:w="3121" w:type="dxa"/>
            <w:tcBorders>
              <w:top w:val="single" w:sz="4" w:space="0" w:color="000000"/>
              <w:lef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Число субъектов малого и среднего предпринимательства в расчете на 10 тыс. человек населения</w:t>
            </w:r>
          </w:p>
        </w:tc>
        <w:tc>
          <w:tcPr>
            <w:tcW w:w="1417"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115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единиц</w:t>
            </w:r>
          </w:p>
        </w:tc>
        <w:tc>
          <w:tcPr>
            <w:tcW w:w="828"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443,09</w:t>
            </w:r>
          </w:p>
        </w:tc>
        <w:tc>
          <w:tcPr>
            <w:tcW w:w="85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437,03</w:t>
            </w:r>
          </w:p>
        </w:tc>
        <w:tc>
          <w:tcPr>
            <w:tcW w:w="852"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467,75</w:t>
            </w:r>
          </w:p>
        </w:tc>
        <w:tc>
          <w:tcPr>
            <w:tcW w:w="99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469,6</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430,8</w:t>
            </w:r>
          </w:p>
        </w:tc>
        <w:tc>
          <w:tcPr>
            <w:tcW w:w="99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431,1</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Отдел инвестиционной политики и развития Наукограда администрации городского округа Фрязино</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3.02.01, 3.02.03</w:t>
            </w:r>
          </w:p>
        </w:tc>
      </w:tr>
      <w:tr>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7.</w:t>
            </w:r>
          </w:p>
        </w:tc>
        <w:tc>
          <w:tcPr>
            <w:tcW w:w="3121"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Количество вновь созданных субъектов малого и среднего бизнеса</w:t>
            </w:r>
          </w:p>
        </w:tc>
        <w:tc>
          <w:tcPr>
            <w:tcW w:w="141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tc>
        <w:tc>
          <w:tcPr>
            <w:tcW w:w="115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единиц</w:t>
            </w:r>
          </w:p>
        </w:tc>
        <w:tc>
          <w:tcPr>
            <w:tcW w:w="828"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395</w:t>
            </w:r>
          </w:p>
        </w:tc>
        <w:tc>
          <w:tcPr>
            <w:tcW w:w="85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340</w:t>
            </w:r>
          </w:p>
        </w:tc>
        <w:tc>
          <w:tcPr>
            <w:tcW w:w="852"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362</w:t>
            </w:r>
          </w:p>
        </w:tc>
        <w:tc>
          <w:tcPr>
            <w:tcW w:w="99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360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400</w:t>
            </w:r>
          </w:p>
        </w:tc>
        <w:tc>
          <w:tcPr>
            <w:tcW w:w="99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420</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Отдел инвестиционной политики и развития Наукограда администрации городского округа Фрязино</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3.02.01, 3.02.03</w:t>
            </w:r>
          </w:p>
        </w:tc>
      </w:tr>
      <w:tr>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8.</w:t>
            </w:r>
          </w:p>
        </w:tc>
        <w:tc>
          <w:tcPr>
            <w:tcW w:w="3121"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Количество объектов недвижимого имущества, предоставленных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в рамках оказания имущественной поддержи и (или) предоставления муниципальной преференции для поддержки субъектов малого и среднего предпринимательства.</w:t>
            </w:r>
          </w:p>
        </w:tc>
        <w:tc>
          <w:tcPr>
            <w:tcW w:w="141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Отраслевой</w:t>
            </w:r>
          </w:p>
        </w:tc>
        <w:tc>
          <w:tcPr>
            <w:tcW w:w="115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единиц</w:t>
            </w:r>
          </w:p>
        </w:tc>
        <w:tc>
          <w:tcPr>
            <w:tcW w:w="828"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w:t>
            </w:r>
          </w:p>
        </w:tc>
        <w:tc>
          <w:tcPr>
            <w:tcW w:w="85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852"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99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99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Отдел учета и распоряжения муниципальным имуществом администрации городского округа Фрязино</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3.02.04</w:t>
            </w:r>
          </w:p>
        </w:tc>
      </w:tr>
      <w:tr>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9.</w:t>
            </w:r>
          </w:p>
        </w:tc>
        <w:tc>
          <w:tcPr>
            <w:tcW w:w="3121"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Количество заключенных договоров с субъектами малого и среднего предпринимательства для размещения нестационарных торговых объектов на территории парков культуры и отдыха городских округов Московской области без проведения торгов на льготных условиях при организации: мобильной торговли (в мобильных пунктах быстрого питания (фудтраках) и передвижных сооружениях (тележках), торговли в киосках малых площадью до 9 кв. м включительно и торговых автоматах (вендинговых автоматах).</w:t>
            </w:r>
          </w:p>
        </w:tc>
        <w:tc>
          <w:tcPr>
            <w:tcW w:w="141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Отраслевой</w:t>
            </w:r>
          </w:p>
        </w:tc>
        <w:tc>
          <w:tcPr>
            <w:tcW w:w="115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единиц</w:t>
            </w:r>
          </w:p>
        </w:tc>
        <w:tc>
          <w:tcPr>
            <w:tcW w:w="828"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w:t>
            </w:r>
          </w:p>
        </w:tc>
        <w:tc>
          <w:tcPr>
            <w:tcW w:w="85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w:t>
            </w:r>
          </w:p>
        </w:tc>
        <w:tc>
          <w:tcPr>
            <w:tcW w:w="852"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0</w:t>
            </w:r>
          </w:p>
        </w:tc>
        <w:tc>
          <w:tcPr>
            <w:tcW w:w="99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0</w:t>
            </w:r>
          </w:p>
        </w:tc>
        <w:tc>
          <w:tcPr>
            <w:tcW w:w="99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0</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Отдел инвестиционной политики и развития Наукограда администрации городского округа Фрязино</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3.02.05</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c>
          <w:tcPr>
            <w:tcW w:w="14459" w:type="dxa"/>
            <w:gridSpan w:val="11"/>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3"/>
              </w:numPr>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 xml:space="preserve"> </w:t>
            </w:r>
            <w:r>
              <w:rPr>
                <w:rFonts w:eastAsia="Calibri" w:cs="Times New Roman" w:ascii="Times New Roman" w:hAnsi="Times New Roman"/>
                <w:sz w:val="20"/>
                <w:szCs w:val="20"/>
              </w:rPr>
              <w:t>Повышение социально-экономической эффективности потребительского рынка и услуг на территории городского округа Фрязино</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9.</w:t>
            </w:r>
          </w:p>
        </w:tc>
        <w:tc>
          <w:tcPr>
            <w:tcW w:w="3121"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Обеспеченность населения площадью торговых объектов</w:t>
            </w:r>
          </w:p>
        </w:tc>
        <w:tc>
          <w:tcPr>
            <w:tcW w:w="141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tc>
        <w:tc>
          <w:tcPr>
            <w:tcW w:w="115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кв. м/</w:t>
              <w:br/>
              <w:t>1000 человек</w:t>
            </w:r>
          </w:p>
        </w:tc>
        <w:tc>
          <w:tcPr>
            <w:tcW w:w="828"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677,0</w:t>
            </w:r>
          </w:p>
        </w:tc>
        <w:tc>
          <w:tcPr>
            <w:tcW w:w="85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670,0</w:t>
            </w:r>
          </w:p>
        </w:tc>
        <w:tc>
          <w:tcPr>
            <w:tcW w:w="852"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683,8</w:t>
            </w:r>
          </w:p>
        </w:tc>
        <w:tc>
          <w:tcPr>
            <w:tcW w:w="99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696,2</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672,0</w:t>
            </w:r>
          </w:p>
        </w:tc>
        <w:tc>
          <w:tcPr>
            <w:tcW w:w="99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672,0</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МКУ «Дирекция Наукограда»</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w:t>
            </w:r>
            <w:r>
              <w:rPr>
                <w:rFonts w:eastAsia="Calibri" w:cs="Times New Roman" w:ascii="Times New Roman" w:hAnsi="Times New Roman"/>
                <w:sz w:val="20"/>
                <w:szCs w:val="20"/>
                <w:lang w:val="en-US"/>
              </w:rPr>
              <w:t>01</w:t>
            </w:r>
            <w:r>
              <w:rPr>
                <w:rFonts w:eastAsia="Calibri" w:cs="Times New Roman" w:ascii="Times New Roman" w:hAnsi="Times New Roman"/>
                <w:sz w:val="20"/>
                <w:szCs w:val="20"/>
              </w:rPr>
              <w:t>.01, 4.01.02, 4.01.04, 4.01.05, 4.01.06, 4.01.07, 4.01.08</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10.</w:t>
            </w:r>
          </w:p>
        </w:tc>
        <w:tc>
          <w:tcPr>
            <w:tcW w:w="3121"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Обеспеченность населения предприятиями общественного питания</w:t>
            </w:r>
          </w:p>
        </w:tc>
        <w:tc>
          <w:tcPr>
            <w:tcW w:w="141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tc>
        <w:tc>
          <w:tcPr>
            <w:tcW w:w="115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пос. мест/ 1000 человек</w:t>
            </w:r>
          </w:p>
        </w:tc>
        <w:tc>
          <w:tcPr>
            <w:tcW w:w="828"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w:t>
            </w:r>
          </w:p>
        </w:tc>
        <w:tc>
          <w:tcPr>
            <w:tcW w:w="85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37,60</w:t>
            </w:r>
          </w:p>
        </w:tc>
        <w:tc>
          <w:tcPr>
            <w:tcW w:w="852"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38,88</w:t>
            </w:r>
          </w:p>
        </w:tc>
        <w:tc>
          <w:tcPr>
            <w:tcW w:w="99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39,75</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38,1</w:t>
            </w:r>
          </w:p>
        </w:tc>
        <w:tc>
          <w:tcPr>
            <w:tcW w:w="99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38,1</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МКУ «Дирекция Наукограда»</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4.51.01</w:t>
            </w:r>
          </w:p>
        </w:tc>
      </w:tr>
      <w:tr>
        <w:trPr>
          <w:trHeight w:val="360" w:hRule="atLeast"/>
        </w:trPr>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11.</w:t>
            </w:r>
          </w:p>
        </w:tc>
        <w:tc>
          <w:tcPr>
            <w:tcW w:w="3121"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Обеспеченность населения предприятиями бытового обслуживания</w:t>
            </w:r>
          </w:p>
        </w:tc>
        <w:tc>
          <w:tcPr>
            <w:tcW w:w="141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tc>
        <w:tc>
          <w:tcPr>
            <w:tcW w:w="115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раб. мест/ 1000 человек</w:t>
            </w:r>
          </w:p>
        </w:tc>
        <w:tc>
          <w:tcPr>
            <w:tcW w:w="828"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w:t>
            </w:r>
          </w:p>
        </w:tc>
        <w:tc>
          <w:tcPr>
            <w:tcW w:w="85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6,68</w:t>
            </w:r>
          </w:p>
        </w:tc>
        <w:tc>
          <w:tcPr>
            <w:tcW w:w="852"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6,89</w:t>
            </w:r>
          </w:p>
        </w:tc>
        <w:tc>
          <w:tcPr>
            <w:tcW w:w="99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7,05</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6,74</w:t>
            </w:r>
          </w:p>
        </w:tc>
        <w:tc>
          <w:tcPr>
            <w:tcW w:w="993"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6,74</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МКУ «Дирекция Наукограда»</w:t>
            </w:r>
          </w:p>
        </w:tc>
        <w:tc>
          <w:tcPr>
            <w:tcW w:w="155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4.52.01,</w:t>
            </w:r>
          </w:p>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r>
          </w:p>
        </w:tc>
      </w:tr>
      <w:tr>
        <w:trPr>
          <w:trHeight w:val="360"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12.</w:t>
            </w:r>
          </w:p>
        </w:tc>
        <w:tc>
          <w:tcPr>
            <w:tcW w:w="31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Доля обращений по вопросу защиты прав потребителей от общего количества поступивших обращений</w:t>
            </w:r>
          </w:p>
        </w:tc>
        <w:tc>
          <w:tcPr>
            <w:tcW w:w="1417" w:type="dxa"/>
            <w:tcBorders>
              <w:top w:val="single" w:sz="4" w:space="0" w:color="000000"/>
              <w:left w:val="single" w:sz="4" w:space="0" w:color="000000"/>
              <w:bottom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Приоритетный</w:t>
            </w:r>
          </w:p>
        </w:tc>
        <w:tc>
          <w:tcPr>
            <w:tcW w:w="115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процент</w:t>
            </w:r>
          </w:p>
        </w:tc>
        <w:tc>
          <w:tcPr>
            <w:tcW w:w="8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22</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22</w:t>
            </w:r>
          </w:p>
        </w:tc>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15</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12</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12</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12</w:t>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МКУ «Дирекция Наукограда»</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4.53.01,</w:t>
            </w:r>
          </w:p>
          <w:p>
            <w:pPr>
              <w:pStyle w:val="Normal"/>
              <w:widowControl w:val="false"/>
              <w:spacing w:before="0" w:after="0"/>
              <w:jc w:val="center"/>
              <w:rPr>
                <w:rFonts w:ascii="Times New Roman" w:hAnsi="Times New Roman" w:eastAsia="Calibri" w:cs="Times New Roman"/>
                <w:sz w:val="20"/>
                <w:szCs w:val="20"/>
              </w:rPr>
            </w:pPr>
            <w:r>
              <w:rPr>
                <w:rFonts w:eastAsia="Calibri" w:cs="Times New Roman" w:ascii="Times New Roman" w:hAnsi="Times New Roman"/>
                <w:sz w:val="20"/>
                <w:szCs w:val="20"/>
              </w:rPr>
              <w:t>4.53.02</w:t>
            </w:r>
          </w:p>
        </w:tc>
      </w:tr>
    </w:tbl>
    <w:p>
      <w:pPr>
        <w:pStyle w:val="Normal"/>
        <w:spacing w:before="0" w:after="0"/>
        <w:jc w:val="right"/>
        <w:rPr>
          <w:rFonts w:ascii="Times New Roman" w:hAnsi="Times New Roman" w:eastAsia="Calibri" w:cs="Times New Roman"/>
          <w:sz w:val="24"/>
          <w:szCs w:val="24"/>
        </w:rPr>
      </w:pPr>
      <w:r>
        <w:rPr>
          <w:rFonts w:eastAsia="Calibri" w:cs="Times New Roman" w:ascii="Times New Roman" w:hAnsi="Times New Roman"/>
          <w:sz w:val="24"/>
          <w:szCs w:val="24"/>
        </w:rPr>
        <w:t>».</w:t>
      </w:r>
    </w:p>
    <w:p>
      <w:pPr>
        <w:pStyle w:val="Normal"/>
        <w:spacing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Приложение 3</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к постановлению Администрации</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городского округа Фрязино</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 xml:space="preserve">от </w:t>
      </w:r>
      <w:r>
        <w:rPr>
          <w:rFonts w:eastAsia="Calibri" w:cs="Times New Roman" w:ascii="Times New Roman" w:hAnsi="Times New Roman"/>
          <w:sz w:val="24"/>
          <w:szCs w:val="24"/>
          <w:lang w:eastAsia="zh-CN"/>
        </w:rPr>
        <w:t>10.09.2025</w:t>
      </w:r>
      <w:r>
        <w:rPr>
          <w:rFonts w:eastAsia="Calibri" w:cs="Times New Roman" w:ascii="Times New Roman" w:hAnsi="Times New Roman"/>
          <w:sz w:val="24"/>
          <w:szCs w:val="24"/>
          <w:lang w:eastAsia="zh-CN"/>
        </w:rPr>
        <w:t xml:space="preserve"> № </w:t>
      </w:r>
      <w:r>
        <w:rPr>
          <w:rFonts w:eastAsia="Calibri" w:cs="Times New Roman" w:ascii="Times New Roman" w:hAnsi="Times New Roman"/>
          <w:sz w:val="24"/>
          <w:szCs w:val="24"/>
          <w:lang w:eastAsia="zh-CN"/>
        </w:rPr>
        <w:t>831</w:t>
      </w:r>
    </w:p>
    <w:p>
      <w:pPr>
        <w:pStyle w:val="Normal"/>
        <w:spacing w:before="0" w:after="0"/>
        <w:ind w:left="6096" w:firstLine="4961"/>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p>
      <w:pPr>
        <w:pStyle w:val="Normal"/>
        <w:keepNext w:val="true"/>
        <w:numPr>
          <w:ilvl w:val="0"/>
          <w:numId w:val="0"/>
        </w:numPr>
        <w:suppressAutoHyphens w:val="true"/>
        <w:spacing w:lineRule="auto" w:line="240" w:before="0" w:after="0"/>
        <w:ind w:left="644" w:hanging="0"/>
        <w:jc w:val="center"/>
        <w:outlineLvl w:val="0"/>
        <w:rPr>
          <w:rFonts w:ascii="Times New Roman" w:hAnsi="Times New Roman" w:eastAsia="Times New Roman" w:cs="Times New Roman"/>
          <w:b/>
          <w:sz w:val="24"/>
          <w:szCs w:val="24"/>
          <w:lang w:eastAsia="ru-RU"/>
        </w:rPr>
      </w:pPr>
      <w:r>
        <w:rPr>
          <w:rFonts w:eastAsia="Times New Roman" w:cs="Times New Roman" w:ascii="Times New Roman" w:hAnsi="Times New Roman"/>
          <w:b/>
          <w:sz w:val="24"/>
          <w:szCs w:val="24"/>
          <w:lang w:eastAsia="ru-RU"/>
        </w:rPr>
        <w:t>«3.1. Методика определения результатов выполнения мероприятий муниципальной программы</w:t>
      </w:r>
    </w:p>
    <w:p>
      <w:pPr>
        <w:pStyle w:val="Normal"/>
        <w:keepNext w:val="true"/>
        <w:numPr>
          <w:ilvl w:val="0"/>
          <w:numId w:val="0"/>
        </w:numPr>
        <w:suppressAutoHyphens w:val="true"/>
        <w:spacing w:lineRule="auto" w:line="240" w:before="0" w:after="0"/>
        <w:ind w:left="644" w:hanging="0"/>
        <w:jc w:val="center"/>
        <w:outlineLvl w:val="0"/>
        <w:rPr>
          <w:rFonts w:ascii="Times New Roman" w:hAnsi="Times New Roman" w:eastAsia="Times New Roman" w:cs="Times New Roman"/>
          <w:b/>
          <w:sz w:val="24"/>
          <w:szCs w:val="24"/>
          <w:lang w:eastAsia="ru-RU"/>
        </w:rPr>
      </w:pPr>
      <w:r>
        <w:rPr>
          <w:rFonts w:eastAsia="Times New Roman" w:cs="Times New Roman" w:ascii="Times New Roman" w:hAnsi="Times New Roman"/>
          <w:b/>
          <w:sz w:val="24"/>
          <w:szCs w:val="24"/>
          <w:lang w:eastAsia="ru-RU"/>
        </w:rPr>
        <w:t>«Предпринимательство» на 2023-2027 годы</w:t>
      </w:r>
    </w:p>
    <w:p>
      <w:pPr>
        <w:pStyle w:val="Normal"/>
        <w:spacing w:before="0" w:after="0"/>
        <w:jc w:val="center"/>
        <w:rPr>
          <w:rFonts w:ascii="Times New Roman" w:hAnsi="Times New Roman" w:eastAsia="Calibri" w:cs="Times New Roman"/>
          <w:b/>
          <w:sz w:val="24"/>
          <w:szCs w:val="24"/>
          <w:lang w:eastAsia="ru-RU"/>
        </w:rPr>
      </w:pPr>
      <w:r>
        <w:rPr>
          <w:rFonts w:eastAsia="Calibri" w:cs="Times New Roman" w:ascii="Times New Roman" w:hAnsi="Times New Roman"/>
          <w:b/>
          <w:sz w:val="24"/>
          <w:szCs w:val="24"/>
          <w:lang w:eastAsia="ru-RU"/>
        </w:rPr>
      </w:r>
    </w:p>
    <w:tbl>
      <w:tblPr>
        <w:tblW w:w="1535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18"/>
        <w:gridCol w:w="1474"/>
        <w:gridCol w:w="1560"/>
        <w:gridCol w:w="1417"/>
        <w:gridCol w:w="2905"/>
        <w:gridCol w:w="1291"/>
        <w:gridCol w:w="6087"/>
      </w:tblGrid>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 xml:space="preserve">№ </w:t>
            </w:r>
            <w:r>
              <w:rPr>
                <w:rFonts w:cs="Times New Roman" w:ascii="Times New Roman" w:hAnsi="Times New Roman"/>
                <w:sz w:val="20"/>
                <w:szCs w:val="20"/>
                <w:lang w:eastAsia="ru-RU"/>
              </w:rPr>
              <w:t>п/п</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Номер подпрограммы</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Номер основного мероприятия</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Номер мероприятия</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Наименование результата</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Единица измерения</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Порядок определения значений</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резидентов, привлечённых на территорию индустриальных (промышленных) парков (за отчетный год).</w:t>
            </w:r>
          </w:p>
        </w:tc>
        <w:tc>
          <w:tcPr>
            <w:tcW w:w="12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 xml:space="preserve">Значение результата определяется как сумма всех новых резидентов, привлеченных на территорию индустриальных (промышленных) парков в отчетном периоде. </w:t>
              <w:br/>
              <w:t>Периодичность представления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 в отчетном периоде.</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03</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организаций, осуществляющих деятельность в сфере науки, технологии, техники и инноваций в целях реализации научных, научно-технических и инновационных проектов.</w:t>
            </w:r>
          </w:p>
        </w:tc>
        <w:tc>
          <w:tcPr>
            <w:tcW w:w="12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Значение результата определяется как сумма всех организаций, осуществляющих деятельность в сфере науки, технологии, техники и инноваций в целях реализации научных, научно-технических и инновационных проектов на территории городского округа Московской области.</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3</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05</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Предприятия городского округа, осуществившие промышленные экскурсии (за отчетный год).</w:t>
            </w:r>
          </w:p>
        </w:tc>
        <w:tc>
          <w:tcPr>
            <w:tcW w:w="12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Значение результата определяется как сумма всех промышленных предприятий, осуществляющих проведение промышленных экскурсий на территории городского округа Московской области в отчетном году.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 в отчетном периоде.</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08</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Привлечены инвесторы на территорию городского округа Московской области (за отчетный год).</w:t>
            </w:r>
          </w:p>
        </w:tc>
        <w:tc>
          <w:tcPr>
            <w:tcW w:w="12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Значение результата определяется как сумма всех новых резидентов, привлеченных на территорию городского округа Московской области в отчетном году.</w:t>
              <w:br/>
              <w:t>Периодичность представления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 в отчетном периоде</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3</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субъектов МСП получивших муниципальную поддержку на возмещение части затрат, связанных с приобретением оборудования в целях создания и (или) развития либо модернизации производства товаров (работ, услуг).</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Значение результата определяется как сумма всех субъектов МСП получивших муниципальную поддержку на возмещение части затрат, связанных с приобретением оборудования в целях создания и (или) развития либо модернизации производства товаров (работ, услуг) на территории городского округа Московской области в отчетном периоде.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 в отчетном периоде</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6</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3</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03</w:t>
            </w:r>
          </w:p>
        </w:tc>
        <w:tc>
          <w:tcPr>
            <w:tcW w:w="29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субъектов МСП, осуществляющие деятельность в сфере социального предпринимательства, получивших муниципальную поддержку</w:t>
            </w:r>
          </w:p>
        </w:tc>
        <w:tc>
          <w:tcPr>
            <w:tcW w:w="12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Значение результата определяется как сумма всех субъектов МСП осуществляющие деятельность в сфере социального предпринимательства на территории городского округа Московской области, получивших муниципальную поддержку в отчетном периоде.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 в отчетном периоде</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7</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50</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Обеспечено плановое значение доли несостоявшихся закупок от общего количества конкурентных закупок</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процент</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drawing>
                <wp:inline distT="0" distB="0" distL="0" distR="0">
                  <wp:extent cx="1342390" cy="476885"/>
                  <wp:effectExtent l="0" t="0" r="0" b="0"/>
                  <wp:docPr id="2"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descr=""/>
                          <pic:cNvPicPr>
                            <a:picLocks noChangeAspect="1" noChangeArrowheads="1"/>
                          </pic:cNvPicPr>
                        </pic:nvPicPr>
                        <pic:blipFill>
                          <a:blip r:embed="rId5"/>
                          <a:stretch>
                            <a:fillRect/>
                          </a:stretch>
                        </pic:blipFill>
                        <pic:spPr bwMode="auto">
                          <a:xfrm>
                            <a:off x="0" y="0"/>
                            <a:ext cx="1342390" cy="476885"/>
                          </a:xfrm>
                          <a:prstGeom prst="rect">
                            <a:avLst/>
                          </a:prstGeom>
                        </pic:spPr>
                      </pic:pic>
                    </a:graphicData>
                  </a:graphic>
                </wp:inline>
              </w:drawing>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Днт – доля несостоявшихся конкурентных закупок от общего количества конкурентных закупок, процентов;</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N – количество несостоявшихся (признанных несостоявшимися в соответствии с Федеральным законом №44-ФЗ) закупок, осуществляемых с применением конкурентных способов определения поставщиков (подрядчиков, исполнителей)) (далее – конкурентные закупки) с первым годом финансового обеспечения, совпадающим с годом расчета показателя, включая закупки, извещения об осуществлении которых размещены до начала указанного года,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K – общее количество конкурентных закупок, с первым годом финансового обеспечения, совпадающим с годом расчета показателя, включая закупки, извещения об осуществлении которых размещены до начала указанного года,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 расчета – календарный год.</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Из расчета исключаются: закупки на приобретение объектов недвижимости и оказание услуг по предоставлению кредитов; закупки по результатам которых заключается контракт со встречными инвестиционными обязательствами; закупки, при осуществлении которых применяются закрытые способы определения поставщиков (подрядчиков, исполнителей).</w:t>
              <w:br/>
              <w:t>Период расчете – календарный год.</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8</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50</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02</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Обеспечено плановое значение доли обоснованных, частично обоснованных жалоб</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процент</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drawing>
                <wp:inline distT="0" distB="0" distL="0" distR="0">
                  <wp:extent cx="1371600" cy="476885"/>
                  <wp:effectExtent l="0" t="0" r="0" b="0"/>
                  <wp:docPr id="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
                          <pic:cNvPicPr>
                            <a:picLocks noChangeAspect="1" noChangeArrowheads="1"/>
                          </pic:cNvPicPr>
                        </pic:nvPicPr>
                        <pic:blipFill>
                          <a:blip r:embed="rId6"/>
                          <a:stretch>
                            <a:fillRect/>
                          </a:stretch>
                        </pic:blipFill>
                        <pic:spPr bwMode="auto">
                          <a:xfrm>
                            <a:off x="0" y="0"/>
                            <a:ext cx="1371600" cy="476885"/>
                          </a:xfrm>
                          <a:prstGeom prst="rect">
                            <a:avLst/>
                          </a:prstGeom>
                        </pic:spPr>
                      </pic:pic>
                    </a:graphicData>
                  </a:graphic>
                </wp:inline>
              </w:drawing>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Дож – доля обоснованных, частично обоснованных жалоб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поданных в Федеральную антимонопольную службу России (далее – ФАС России), Управление ФАС России по Московской области (далее – жалоб), процентов;</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L – количество жалоб, признанных обоснованными, частично обоснованными, поданных в ходе осуществления конкурентными способами определения поставщика (подрядчика, исполнителя) закупок (далее – конкурентные закупки), с первым годом финансового обеспечения, совпадающим с годом расчета показателя, в том числе, поданные до начала указанного года,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K – общее количество конкурентных закупок, с первым годом финансового обеспечения, совпадающим с годом расчета показателя, включая закупки, извещения об осуществлении которых размещены до начала указанного года,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 расчета – календарный год.</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9</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50</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03</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Обеспечено плановое значение среднего количества участников закупок</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drawing>
                <wp:inline distT="0" distB="0" distL="0" distR="0">
                  <wp:extent cx="1527175" cy="506095"/>
                  <wp:effectExtent l="0" t="0" r="0" b="0"/>
                  <wp:docPr id="4"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
                          <pic:cNvPicPr>
                            <a:picLocks noChangeAspect="1" noChangeArrowheads="1"/>
                          </pic:cNvPicPr>
                        </pic:nvPicPr>
                        <pic:blipFill>
                          <a:blip r:embed="rId7"/>
                          <a:stretch>
                            <a:fillRect/>
                          </a:stretch>
                        </pic:blipFill>
                        <pic:spPr bwMode="auto">
                          <a:xfrm>
                            <a:off x="0" y="0"/>
                            <a:ext cx="1527175" cy="506095"/>
                          </a:xfrm>
                          <a:prstGeom prst="rect">
                            <a:avLst/>
                          </a:prstGeom>
                        </pic:spPr>
                      </pic:pic>
                    </a:graphicData>
                  </a:graphic>
                </wp:inline>
              </w:drawing>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Y – среднее количество участников состоявшихся закупок, единиц;</w:t>
            </w:r>
          </w:p>
          <w:p>
            <w:pPr>
              <w:pStyle w:val="Normal"/>
              <w:widowControl w:val="false"/>
              <w:suppressAutoHyphens w:val="true"/>
              <w:spacing w:before="0" w:after="0"/>
              <w:rPr>
                <w:rFonts w:ascii="Times New Roman" w:hAnsi="Times New Roman" w:cs="Times New Roman"/>
                <w:sz w:val="20"/>
                <w:szCs w:val="20"/>
                <w:lang w:eastAsia="ru-RU"/>
              </w:rPr>
            </w:pPr>
            <w:r>
              <w:rPr/>
            </w:r>
            <m:oMath xmlns:m="http://schemas.openxmlformats.org/officeDocument/2006/math">
              <m:sSubSup>
                <m:e>
                  <m:r>
                    <w:rPr>
                      <w:rFonts w:ascii="Cambria Math" w:hAnsi="Cambria Math"/>
                    </w:rPr>
                    <m:t xml:space="preserve">Y</m:t>
                  </m:r>
                </m:e>
                <m:sub>
                  <m:r>
                    <w:rPr>
                      <w:rFonts w:ascii="Cambria Math" w:hAnsi="Cambria Math"/>
                    </w:rPr>
                    <m:t xml:space="preserve">k</m:t>
                  </m:r>
                </m:sub>
                <m:sup>
                  <m:r>
                    <w:rPr>
                      <w:rFonts w:ascii="Cambria Math" w:hAnsi="Cambria Math"/>
                    </w:rPr>
                    <m:t xml:space="preserve">i</m:t>
                  </m:r>
                </m:sup>
              </m:sSubSup>
              <m:r>
                <w:rPr>
                  <w:rFonts w:ascii="Cambria Math" w:hAnsi="Cambria Math"/>
                </w:rPr>
                <m:t xml:space="preserve">–</m:t>
              </m:r>
            </m:oMath>
            <w:r>
              <w:rPr>
                <w:rFonts w:cs="Times New Roman" w:ascii="Times New Roman" w:hAnsi="Times New Roman"/>
                <w:sz w:val="20"/>
                <w:szCs w:val="20"/>
                <w:lang w:eastAsia="ru-RU"/>
              </w:rPr>
              <w:t>количество участников закупки в i-й конкурентной закупке, с первым годом финансового обеспечения, совпадающим с годом расчета показателя, включая закупки, извещения об осуществлении которых размещены до начала указанного года, и при осуществлении которых определение поставщика (подрядчика, исполнителя) завершено (за исключением конкурентных закупок, признанных несостоявшимися в соответствии Федеральным законом № 44-ФЗ, отмененных конкурентных закупок),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 – общее количество конкурентных закупок с первым годом финансового обеспечения, совпадающим с годом расчета показателя, включая закупки, извещения об осуществлении которых размещены до начала указанного года, и по которым определение поставщика (подрядчика, исполнителя) завершено (за исключением конкурентных закупок, признанных несостоявшимися в соответствии Федеральным законом, отмененных конкурентных закупок),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Из расчета исключаются закупки:</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на приобретение объектов недвижимости и оказание услуг по предоставлению кредитов;</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по результатам которых заключается контракт со встречными инвестиционными обязательствами;</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при осуществлении которых применяются закрытые способы определения поставщиков (подрядчиков, исполнителей).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 расчета - календарный год).</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10</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50</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04</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Обеспечено плановое значение доли общей экономии денежных средств по результатам осуществления закупок</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процент</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Омк = Эдс/НМЦК * 100%</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Омк – доля общей экономии денежных средств по результатам осуществления конкурентных закупок, процентов;</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Эдс – экономия денежных средств по результатам осуществления конкурентных закупок, рублей;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НМЦК – сумма начальных (максимальных) цен контрактов конкурентных закупок, при осуществлении которых были заключены контракты в период с 01 января года расчета показателя по 31 декабря года расчета показателя, рублей.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Расчет Эдс осуществляется по следующей формуле:</w:t>
            </w:r>
          </w:p>
          <w:p>
            <w:pPr>
              <w:pStyle w:val="Normal"/>
              <w:widowControl w:val="false"/>
              <w:suppressAutoHyphens w:val="true"/>
              <w:spacing w:before="0" w:after="0"/>
              <w:rPr>
                <w:rFonts w:ascii="Times New Roman" w:hAnsi="Times New Roman" w:cs="Times New Roman"/>
                <w:sz w:val="20"/>
                <w:szCs w:val="20"/>
                <w:lang w:eastAsia="ru-RU"/>
              </w:rPr>
            </w:pPr>
            <w:r>
              <w:rPr/>
              <w:drawing>
                <wp:inline distT="0" distB="0" distL="0" distR="0">
                  <wp:extent cx="1099185" cy="213995"/>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8"/>
                          <a:stretch>
                            <a:fillRect/>
                          </a:stretch>
                        </pic:blipFill>
                        <pic:spPr bwMode="auto">
                          <a:xfrm>
                            <a:off x="0" y="0"/>
                            <a:ext cx="1099185" cy="213995"/>
                          </a:xfrm>
                          <a:prstGeom prst="rect">
                            <a:avLst/>
                          </a:prstGeom>
                        </pic:spPr>
                      </pic:pic>
                    </a:graphicData>
                  </a:graphic>
                </wp:inline>
              </w:drawing>
            </w:r>
            <w:r>
              <w:rPr>
                <w:rFonts w:cs="Times New Roman" w:ascii="Times New Roman" w:hAnsi="Times New Roman"/>
                <w:sz w:val="20"/>
                <w:szCs w:val="20"/>
                <w:lang w:eastAsia="ru-RU"/>
              </w:rPr>
              <w:t>,</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НМЦК - сумма начальных (максимальных) цен контрактов конкурентных закупок, при осуществлении которых были заключены контракты в период с 1 января года расчета результата по 31 декабря года расчета результата, рублей;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ЦК - сумма цен контрактов, заключенных в ходе осуществления конкурентных закупок, при осуществлении которых были заключены контракты в период с 1 января года расчета результата по 31 декабря года расчета результата, рублей.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В случае если в рамках осуществления закупки имело место заключение нескольких контрактов в соответствии с частью 17.1 статьи 95 Федерального закона N 44-ФЗ, расчет осуществляется с учетом частичного исполнения расторгнутых контрактов.</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Из расчета исключаются: закупки, осуществляемые в случае, предусмотренном частью 24 статьи 22 Федерального закона N 44-ФЗ;</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Закупки, по результатам которых заключается контракт со встречными инвестиционными обязательствами;</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закупки, при осуществлении которых применяются закрытые способы определения поставщиков (подрядчиков, исполнителей);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контракты, заключенные с единственным поставщиком (подрядчиком, исполнителем) в соответствии с пунктом 25 части 1 статьи 93 Федерального закона N 44-ФЗ, за исключением закупок, осуществляемых путем проведения электронного запроса котировок.</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 расчета - календарный год</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11</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50</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05</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Обеспечено плановое значение доли стоимости контрактов, заключенных с единственным поставщиком по несостоявшимся закупкам</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процент</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drawing>
                <wp:inline distT="0" distB="0" distL="0" distR="0">
                  <wp:extent cx="1750695" cy="506095"/>
                  <wp:effectExtent l="0" t="0" r="0" b="0"/>
                  <wp:docPr id="6"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descr=""/>
                          <pic:cNvPicPr>
                            <a:picLocks noChangeAspect="1" noChangeArrowheads="1"/>
                          </pic:cNvPicPr>
                        </pic:nvPicPr>
                        <pic:blipFill>
                          <a:blip r:embed="rId9"/>
                          <a:stretch>
                            <a:fillRect/>
                          </a:stretch>
                        </pic:blipFill>
                        <pic:spPr bwMode="auto">
                          <a:xfrm>
                            <a:off x="0" y="0"/>
                            <a:ext cx="1750695" cy="506095"/>
                          </a:xfrm>
                          <a:prstGeom prst="rect">
                            <a:avLst/>
                          </a:prstGeom>
                        </pic:spPr>
                      </pic:pic>
                    </a:graphicData>
                  </a:graphic>
                </wp:inline>
              </w:drawing>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Дцк – доля стоимости контрактов, заключенных с единственным поставщиком по несостоявшимся закупкам, процентов;</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ЦКедп – сумма цен контрактов, заключенных с единственным поставщиком (подрядчиком, исполнителем) в соответствии с п. 25 ч. 1 ст. 93 Федерального закона № 44-ФЗ в период с 01 января года расчета показателя по 31 декабря года расчета показателя, рублей;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НМЦК – сумма начальных (максимальных) цен контрактов, начальных сумм цен единиц товара, работы, услуги конкурентных закупок, при осуществлении которых были заключены контракты в период с 01 января года расчета показателя по 31 декабря года расчета показателя, рублей.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 расчета – календарный год.</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Из расчета исключаются: закупки на приобретение объектов недвижимости и оказание услуг по предоставлению кредитов; закупки по результатам которых заключается контракт со встречными инвестиционными обязательствами; закупки, при осуществлении которых применяются закрытые способы определения поставщиков (подрядчиков, исполнителей).</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12</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50</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06</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Обеспечено плановое значения доли закупок среди субъектов малого предпринимательства, социально ориентированных некоммерческих организаций</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процент</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drawing>
                <wp:inline distT="0" distB="0" distL="0" distR="0">
                  <wp:extent cx="2198370" cy="544830"/>
                  <wp:effectExtent l="0" t="0" r="0" b="0"/>
                  <wp:docPr id="7"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pic:cNvPicPr>
                            <a:picLocks noChangeAspect="1" noChangeArrowheads="1"/>
                          </pic:cNvPicPr>
                        </pic:nvPicPr>
                        <pic:blipFill>
                          <a:blip r:embed="rId10"/>
                          <a:stretch>
                            <a:fillRect/>
                          </a:stretch>
                        </pic:blipFill>
                        <pic:spPr bwMode="auto">
                          <a:xfrm>
                            <a:off x="0" y="0"/>
                            <a:ext cx="2198370" cy="544830"/>
                          </a:xfrm>
                          <a:prstGeom prst="rect">
                            <a:avLst/>
                          </a:prstGeom>
                        </pic:spPr>
                      </pic:pic>
                    </a:graphicData>
                  </a:graphic>
                </wp:inline>
              </w:drawing>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Дсмп – доля закупок, осуществленных у субъектов малого предпринимательства (далее – СМП), социально ориентированных некоммерческих организаций (далее – СОНО), процент;</w:t>
            </w:r>
          </w:p>
          <w:p>
            <w:pPr>
              <w:pStyle w:val="Normal"/>
              <w:widowControl w:val="false"/>
              <w:suppressAutoHyphens w:val="true"/>
              <w:spacing w:before="0" w:after="0"/>
              <w:rPr>
                <w:rFonts w:ascii="Times New Roman" w:hAnsi="Times New Roman" w:cs="Times New Roman"/>
                <w:sz w:val="20"/>
                <w:szCs w:val="20"/>
                <w:lang w:eastAsia="ru-RU"/>
              </w:rPr>
            </w:pPr>
            <w:r>
              <w:rPr/>
            </w:r>
            <m:oMath xmlns:m="http://schemas.openxmlformats.org/officeDocument/2006/math">
              <m:nary>
                <m:naryPr>
                  <m:chr m:val="∑"/>
                  <m:subHide m:val="1"/>
                  <m:supHide m:val="1"/>
                </m:naryPr>
                <m:sub/>
                <m:sup/>
                <m:e>
                  <m:r>
                    <w:rPr>
                      <w:rFonts w:ascii="Cambria Math" w:hAnsi="Cambria Math"/>
                    </w:rPr>
                    <m:t xml:space="preserve">смп</m:t>
                  </m:r>
                </m:e>
              </m:nary>
              <m:r>
                <w:rPr>
                  <w:rFonts w:ascii="Cambria Math" w:hAnsi="Cambria Math"/>
                </w:rPr>
                <m:t xml:space="preserve">–</m:t>
              </m:r>
            </m:oMath>
            <w:r>
              <w:rPr>
                <w:rFonts w:cs="Times New Roman" w:ascii="Times New Roman" w:hAnsi="Times New Roman"/>
                <w:sz w:val="20"/>
                <w:szCs w:val="20"/>
                <w:lang w:eastAsia="ru-RU"/>
              </w:rPr>
              <w:t>сумма финансового обеспечения контрактов, заключенных в соответствии с требованиями Федерального закона № 44-ФЗ (далее – контракты) с СМП или СОНО, утвержденного на год расчета показателя, включая контракты, заключенные до начала указанного года, рублей;</w:t>
            </w:r>
          </w:p>
          <w:p>
            <w:pPr>
              <w:pStyle w:val="Normal"/>
              <w:widowControl w:val="false"/>
              <w:suppressAutoHyphens w:val="true"/>
              <w:spacing w:before="0" w:after="0"/>
              <w:rPr>
                <w:rFonts w:ascii="Times New Roman" w:hAnsi="Times New Roman" w:cs="Times New Roman"/>
                <w:sz w:val="20"/>
                <w:szCs w:val="20"/>
                <w:lang w:eastAsia="ru-RU"/>
              </w:rPr>
            </w:pPr>
            <w:r>
              <w:rPr/>
            </w:r>
            <m:oMath xmlns:m="http://schemas.openxmlformats.org/officeDocument/2006/math">
              <m:nary>
                <m:naryPr>
                  <m:chr m:val="∑"/>
                  <m:subHide m:val="1"/>
                  <m:supHide m:val="1"/>
                </m:naryPr>
                <m:sub/>
                <m:sup/>
                <m:e>
                  <m:r>
                    <w:rPr>
                      <w:rFonts w:ascii="Cambria Math" w:hAnsi="Cambria Math"/>
                    </w:rPr>
                    <m:t xml:space="preserve">суб</m:t>
                  </m:r>
                </m:e>
              </m:nary>
              <m:r>
                <w:rPr>
                  <w:rFonts w:ascii="Cambria Math" w:hAnsi="Cambria Math"/>
                </w:rPr>
                <m:t xml:space="preserve">–</m:t>
              </m:r>
            </m:oMath>
            <w:r>
              <w:rPr>
                <w:rFonts w:cs="Times New Roman" w:ascii="Times New Roman" w:hAnsi="Times New Roman"/>
                <w:sz w:val="20"/>
                <w:szCs w:val="20"/>
                <w:lang w:eastAsia="ru-RU"/>
              </w:rPr>
              <w:t>сумма денежных средств, подлежащих оплате поставщиками (подрядчиками, исполнителями) в году расчета показателя субпоставщикам (субподрядчикам и соисполнителям) из числа СМП и СОНО, привлеченным к исполнению контрактов, рублей;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СГОЗ – совокупный годовой объем закупок, утвержденный на год расчета показателя общий объем финансового обеспечения для осуществления заказчиком закупок, в том числе для оплаты контрактов, заключенных до начала указанного года и подлежащих оплате в указанном году, рублей</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 расчета – календарный год.</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Из расчета исключаются: закупки на поставку лекарственных препаратов; закупки на приобретение объектов недвижимости и оказание услуг по предоставлению кредитов; закупки по результатам которых заключается контракт со встречными инвестиционными обязательствами, закупки товаров, работ, услуг; закупки, сведения о которых составляют государственную тайну, в том числе при осуществлении которых применяются закрытые способы определения поставщиков (подрядчиков, исполнителей).</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13</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Достигнуты плановые значения ключевых показателей развития конкуренции на товарных рынках муниципального образования Московской области</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процент</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drawing>
                <wp:inline distT="0" distB="0" distL="0" distR="0">
                  <wp:extent cx="1576070" cy="535305"/>
                  <wp:effectExtent l="0" t="0" r="0" b="0"/>
                  <wp:docPr id="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pic:cNvPicPr>
                            <a:picLocks noChangeAspect="1" noChangeArrowheads="1"/>
                          </pic:cNvPicPr>
                        </pic:nvPicPr>
                        <pic:blipFill>
                          <a:blip r:embed="rId11"/>
                          <a:stretch>
                            <a:fillRect/>
                          </a:stretch>
                        </pic:blipFill>
                        <pic:spPr bwMode="auto">
                          <a:xfrm>
                            <a:off x="0" y="0"/>
                            <a:ext cx="1576070" cy="535305"/>
                          </a:xfrm>
                          <a:prstGeom prst="rect">
                            <a:avLst/>
                          </a:prstGeom>
                        </pic:spPr>
                      </pic:pic>
                    </a:graphicData>
                  </a:graphic>
                </wp:inline>
              </w:drawing>
            </w:r>
            <w:r>
              <w:rPr>
                <w:rFonts w:cs="Times New Roman" w:ascii="Times New Roman" w:hAnsi="Times New Roman"/>
                <w:sz w:val="20"/>
                <w:szCs w:val="20"/>
                <w:lang w:eastAsia="ru-RU"/>
              </w:rPr>
              <w:t>,</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ДКП - доля достигнутых плановых значений ключевых показателей развития конкуренции на товарных рынках Московской области, процентов;</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ФКП - количество ключевых показателей развития конкуренции на товарных рынках Московской области, по которым достигнуто плановое значение,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ПКП - количество ключевых показателей развития конкуренции на товарных рынках Московской области,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Источником данных для расчета результата выполнения мероприятия являются данные центральных исполнительных органов Московской области, ответственных за достижение числовых значений ключевых показателей развития конкуренции и реализацию мероприятий Плана мероприятий ("дорожной карты") по содействию развитию конкуренции в Московской области на 2022-2025 годы, утвержденного постановлением Правительства Московской области от 30.11.2021 N 1225/42.</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 расчета - календарный год</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14</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02</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Сформированы материалы с анализом результатов опросов о состоянии и развитии конкуренции на товарных рынках муниципального образования Московской области, (нарастающим итогом)</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единица</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Значение результата определяется по количеству фактически сформированных материалов с анализом результатов опросов о состоянии и развитии конкуренции на товарных рынках Московской области, направленных в центральные исполнительные органы Московской области и/или органы местного самоуправления муниципальных образований Московской области по межведомственной системе электронного документооборота.</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 расчета - календарный год.</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15</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Площадь торговых объектов предприятий розничной торговли</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тыс. кв м</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Общее количество площадей торговых объектов предприятий розничной торговли, осуществляющих деятельность на отчетную дату.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16</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02</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Организованы и проведены ярмарки</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Общее количество фактически проведенных ярмарок на местах проведения ярмарок муниципального образования, включенных в Сводный перечень мест проведения ярмарок на территории Московской области на отчетную дату.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17</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04</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пунктов выдачи интернет-заказов и постаматов</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Общее количество пунктов выдачи интернет-заказов и постаматов, осуществляющих деятельность на отчетную дату.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18</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05</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Нестационарные торговые объекты размещены на основании схем размещения нестационарных торговых объектов и договоров</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К=Кп+2%*Кб, где</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 – количество НТО в текущем году;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Кп – количество НТО в году, предшествовавшему отчетному году,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Кб – количество НТО в базовом году (2022 год), единиц.</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19</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05</w:t>
            </w:r>
          </w:p>
        </w:tc>
        <w:tc>
          <w:tcPr>
            <w:tcW w:w="29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Вновь установлены специализированные нестационарные торговые объекты на основании схем размещения и договоров (нарастающим итогом)</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 xml:space="preserve">Количество вновь установленных специализированных нестационарных торговых объектов (далее – НТО), размещенных на основании схем размещения НТО и договоров в отчетном периоде (источник представления информации: данные о количестве НТО, размещенных на основании схем размещения НТО и договоров, предоставляемые администрациями муниципальных образований Московской области посредством ГАСУ МО). Периодичность представления – ежеквартально. </w:t>
              <w:b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20</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06</w:t>
            </w:r>
          </w:p>
        </w:tc>
        <w:tc>
          <w:tcPr>
            <w:tcW w:w="29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Организованы и проведены мероприятия за счет средств бюджета муниципального образования</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Общее количество мероприятий, проведенных на отчетную дату.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21</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07</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Предоставлены места без проведения аукционов на льготных условиях или на безвозмездной основе</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договоров, заключенных с сельскохозяйственными товаропроизводителям и организациям потребительской кооперации (субъектам малого или среднего предпринимательства) под размещение нестационарных торговых объектов, путем предоставления муниципальных преференций в виде предоставления мест без проведения аукционов на льготных условиях или на безвозмездной основе на отчетную дату.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22</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08</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Предоставлены места без проведения торгов на льготных условиях при организации мобильной торговли</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договоров, заключенных с МСП под размещение МТО, носящих сезонный характер, путем предоставления муниципальных преференций в виде предоставления мест без проведения аукционов на льготных условиях и на основании заявок, поданных через Региональный портал государственных и муниципальных услуг в отчетном году.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23</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51</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посадочных мест на предприятиях общественного питания</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пос. мест</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Общее количество посадочных мест на предприятиях общественного питания, осуществляющих свою деятельность по результатам выгрузки слоя «Предприятия общественного питания Подмосковья» РГИС МО на отчетную дату.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24</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52</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рабочих мест на предприятиях бытового обслуживания</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раб. мест</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Общее количество рабочих мест на предприятиях бытового обслуживания, осуществляющих деятельность на отчетную дату.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25</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53</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01</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Поступило количество обращений и жалоб по вопросам защиты прав потребителей</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Общее количество поступивших обращений и жалоб по вопросам защиты прав потребителей на отчетную дату.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r>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26</w:t>
            </w:r>
          </w:p>
        </w:tc>
        <w:tc>
          <w:tcPr>
            <w:tcW w:w="14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53</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02</w:t>
            </w:r>
          </w:p>
        </w:tc>
        <w:tc>
          <w:tcPr>
            <w:tcW w:w="29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обращений в суды по вопросам защиты прав потребителей</w:t>
            </w:r>
          </w:p>
        </w:tc>
        <w:tc>
          <w:tcPr>
            <w:tcW w:w="12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единиц</w:t>
            </w:r>
          </w:p>
        </w:tc>
        <w:tc>
          <w:tcPr>
            <w:tcW w:w="60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Общее количество обращений в суды по вопросам защиты прав потребителей на отчетную дату.</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Периодичность предоставления – ежеквартально.</w:t>
            </w:r>
          </w:p>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Результат считается нарастающим итогом.</w:t>
            </w:r>
          </w:p>
        </w:tc>
      </w:tr>
    </w:tbl>
    <w:p>
      <w:pPr>
        <w:pStyle w:val="Normal"/>
        <w:spacing w:before="0" w:after="0"/>
        <w:jc w:val="right"/>
        <w:rPr>
          <w:rFonts w:ascii="Times New Roman" w:hAnsi="Times New Roman" w:eastAsia="Calibri" w:cs="Times New Roman"/>
          <w:b/>
          <w:sz w:val="24"/>
          <w:szCs w:val="24"/>
          <w:lang w:eastAsia="ru-RU"/>
        </w:rPr>
      </w:pPr>
      <w:r>
        <w:rPr>
          <w:rFonts w:eastAsia="Calibri" w:cs="Times New Roman" w:ascii="Times New Roman" w:hAnsi="Times New Roman"/>
          <w:b/>
          <w:sz w:val="24"/>
          <w:szCs w:val="24"/>
          <w:lang w:eastAsia="ru-RU"/>
        </w:rPr>
        <w:t>».</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Приложение 4</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к постановлению Администрации</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городского округа Фрязино</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 xml:space="preserve">от </w:t>
      </w:r>
      <w:r>
        <w:rPr>
          <w:rFonts w:eastAsia="Calibri" w:cs="Times New Roman" w:ascii="Times New Roman" w:hAnsi="Times New Roman"/>
          <w:sz w:val="24"/>
          <w:szCs w:val="24"/>
          <w:lang w:eastAsia="zh-CN"/>
        </w:rPr>
        <w:t>10.09.2025</w:t>
      </w:r>
      <w:r>
        <w:rPr>
          <w:rFonts w:eastAsia="Calibri" w:cs="Times New Roman" w:ascii="Times New Roman" w:hAnsi="Times New Roman"/>
          <w:sz w:val="24"/>
          <w:szCs w:val="24"/>
          <w:lang w:eastAsia="zh-CN"/>
        </w:rPr>
        <w:t xml:space="preserve"> № </w:t>
      </w:r>
      <w:r>
        <w:rPr>
          <w:rFonts w:eastAsia="Calibri" w:cs="Times New Roman" w:ascii="Times New Roman" w:hAnsi="Times New Roman"/>
          <w:sz w:val="24"/>
          <w:szCs w:val="24"/>
          <w:lang w:eastAsia="zh-CN"/>
        </w:rPr>
        <w:t>831</w:t>
      </w:r>
    </w:p>
    <w:p>
      <w:pPr>
        <w:pStyle w:val="Normal"/>
        <w:tabs>
          <w:tab w:val="clear" w:pos="708"/>
          <w:tab w:val="left" w:pos="567" w:leader="none"/>
        </w:tabs>
        <w:suppressAutoHyphens w:val="true"/>
        <w:spacing w:before="0" w:after="0"/>
        <w:rPr>
          <w:rFonts w:ascii="Times New Roman" w:hAnsi="Times New Roman" w:cs="Times New Roman"/>
          <w:lang w:eastAsia="ru-RU"/>
        </w:rPr>
      </w:pPr>
      <w:r>
        <w:rPr>
          <w:rFonts w:cs="Times New Roman" w:ascii="Times New Roman" w:hAnsi="Times New Roman"/>
          <w:lang w:eastAsia="ru-RU"/>
        </w:rPr>
      </w:r>
    </w:p>
    <w:p>
      <w:pPr>
        <w:pStyle w:val="Normal"/>
        <w:widowControl w:val="false"/>
        <w:suppressAutoHyphens w:val="true"/>
        <w:spacing w:before="0" w:after="0"/>
        <w:jc w:val="center"/>
        <w:rPr>
          <w:rFonts w:ascii="Times New Roman" w:hAnsi="Times New Roman" w:eastAsia="Times New Roman" w:cs="Times New Roman"/>
          <w:sz w:val="24"/>
          <w:szCs w:val="24"/>
          <w:lang w:eastAsia="ru-RU"/>
        </w:rPr>
      </w:pPr>
      <w:r>
        <w:rPr>
          <w:rFonts w:cs="Times New Roman" w:ascii="Times New Roman" w:hAnsi="Times New Roman"/>
          <w:sz w:val="24"/>
          <w:szCs w:val="24"/>
          <w:lang w:eastAsia="ru-RU"/>
        </w:rPr>
        <w:t xml:space="preserve">«4.2. Адресный перечень объектов муниципальной собственности, имущества, предназначенного для решения вопросов местного значения, финансирование которых предусмотрено </w:t>
      </w:r>
      <w:r>
        <w:rPr>
          <w:rFonts w:eastAsia="Times New Roman" w:cs="Times New Roman" w:ascii="Times New Roman" w:hAnsi="Times New Roman"/>
          <w:sz w:val="24"/>
          <w:szCs w:val="24"/>
          <w:lang w:eastAsia="ru-RU"/>
        </w:rPr>
        <w:t xml:space="preserve">мероприятием 03.01.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w:t>
        <w:br/>
        <w:t>подпрограммы Инвестиции.</w:t>
      </w:r>
    </w:p>
    <w:tbl>
      <w:tblPr>
        <w:tblW w:w="15309" w:type="dxa"/>
        <w:jc w:val="left"/>
        <w:tblInd w:w="-5" w:type="dxa"/>
        <w:tblLayout w:type="fixed"/>
        <w:tblCellMar>
          <w:top w:w="102" w:type="dxa"/>
          <w:left w:w="62" w:type="dxa"/>
          <w:bottom w:w="102" w:type="dxa"/>
          <w:right w:w="62" w:type="dxa"/>
        </w:tblCellMar>
        <w:tblLook w:firstRow="0" w:noVBand="0" w:lastRow="0" w:firstColumn="0" w:lastColumn="0" w:noHBand="0" w:val="0000"/>
      </w:tblPr>
      <w:tblGrid>
        <w:gridCol w:w="494"/>
        <w:gridCol w:w="1491"/>
        <w:gridCol w:w="697"/>
        <w:gridCol w:w="851"/>
        <w:gridCol w:w="710"/>
        <w:gridCol w:w="710"/>
        <w:gridCol w:w="1028"/>
        <w:gridCol w:w="1099"/>
        <w:gridCol w:w="1245"/>
        <w:gridCol w:w="949"/>
        <w:gridCol w:w="782"/>
        <w:gridCol w:w="951"/>
        <w:gridCol w:w="940"/>
        <w:gridCol w:w="1226"/>
        <w:gridCol w:w="1007"/>
        <w:gridCol w:w="1125"/>
      </w:tblGrid>
      <w:tr>
        <w:trPr>
          <w:trHeight w:val="346" w:hRule="atLeast"/>
        </w:trPr>
        <w:tc>
          <w:tcPr>
            <w:tcW w:w="4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firstLine="720"/>
              <w:jc w:val="center"/>
              <w:rPr>
                <w:rFonts w:ascii="Times New Roman" w:hAnsi="Times New Roman" w:cs="Times New Roman"/>
              </w:rPr>
            </w:pPr>
            <w:r>
              <w:rPr>
                <w:rFonts w:cs="Times New Roman" w:ascii="Times New Roman" w:hAnsi="Times New Roman"/>
                <w:sz w:val="20"/>
                <w:szCs w:val="20"/>
                <w:lang w:eastAsia="ru-RU"/>
              </w:rPr>
              <w:t xml:space="preserve">№ № </w:t>
            </w:r>
            <w:r>
              <w:rPr>
                <w:rFonts w:cs="Times New Roman" w:ascii="Times New Roman" w:hAnsi="Times New Roman"/>
                <w:sz w:val="20"/>
                <w:szCs w:val="20"/>
                <w:lang w:eastAsia="ru-RU"/>
              </w:rPr>
              <w:t>п/п</w:t>
            </w:r>
          </w:p>
        </w:tc>
        <w:tc>
          <w:tcPr>
            <w:tcW w:w="14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Направление инвестирования, наименование объекта, адрес объекта</w:t>
            </w:r>
          </w:p>
        </w:tc>
        <w:tc>
          <w:tcPr>
            <w:tcW w:w="6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Характеристика объекта</w:t>
            </w:r>
            <w:r>
              <w:rPr>
                <w:rFonts w:cs="Times New Roman" w:ascii="Times New Roman" w:hAnsi="Times New Roman"/>
                <w:sz w:val="20"/>
                <w:szCs w:val="20"/>
                <w:vertAlign w:val="superscript"/>
                <w:lang w:eastAsia="ru-RU"/>
              </w:rPr>
              <w:t>2</w:t>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Виды работ в соответствии с классификатором работ</w:t>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Сроки проведения работ</w:t>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Открытие объекта / завершение работ</w:t>
            </w:r>
          </w:p>
        </w:tc>
        <w:tc>
          <w:tcPr>
            <w:tcW w:w="10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Стоимость объекта (тыс.руб.)</w:t>
            </w:r>
          </w:p>
        </w:tc>
        <w:tc>
          <w:tcPr>
            <w:tcW w:w="10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Профинансировано на 01.01.___</w:t>
            </w:r>
            <w:r>
              <w:rPr>
                <w:rFonts w:cs="Times New Roman" w:ascii="Times New Roman" w:hAnsi="Times New Roman"/>
                <w:sz w:val="20"/>
                <w:szCs w:val="20"/>
                <w:vertAlign w:val="superscript"/>
                <w:lang w:eastAsia="ru-RU"/>
              </w:rPr>
              <w:t>3</w:t>
            </w:r>
          </w:p>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(тыс.руб.)</w:t>
            </w:r>
          </w:p>
        </w:tc>
        <w:tc>
          <w:tcPr>
            <w:tcW w:w="124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Источники финансирования</w:t>
            </w:r>
          </w:p>
        </w:tc>
        <w:tc>
          <w:tcPr>
            <w:tcW w:w="5855"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Финансирование, тыс. рублей</w:t>
            </w:r>
          </w:p>
        </w:tc>
        <w:tc>
          <w:tcPr>
            <w:tcW w:w="112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Остаток сметной стоимости до завершения работ (тыс. руб.)</w:t>
            </w:r>
          </w:p>
        </w:tc>
      </w:tr>
      <w:tr>
        <w:trPr>
          <w:trHeight w:val="1137" w:hRule="atLeast"/>
        </w:trPr>
        <w:tc>
          <w:tcPr>
            <w:tcW w:w="4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124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2023 год</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2024 год</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2025 год</w:t>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12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166" w:hRule="atLeast"/>
        </w:trPr>
        <w:tc>
          <w:tcPr>
            <w:tcW w:w="49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1</w:t>
            </w:r>
          </w:p>
        </w:tc>
        <w:tc>
          <w:tcPr>
            <w:tcW w:w="14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2</w:t>
            </w:r>
          </w:p>
        </w:tc>
        <w:tc>
          <w:tcPr>
            <w:tcW w:w="69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3</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4</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9" w:hanging="0"/>
              <w:jc w:val="center"/>
              <w:rPr>
                <w:rFonts w:ascii="Times New Roman" w:hAnsi="Times New Roman" w:cs="Times New Roman"/>
              </w:rPr>
            </w:pPr>
            <w:r>
              <w:rPr>
                <w:rFonts w:cs="Times New Roman" w:ascii="Times New Roman" w:hAnsi="Times New Roman"/>
                <w:sz w:val="20"/>
                <w:szCs w:val="20"/>
                <w:lang w:eastAsia="ru-RU"/>
              </w:rPr>
              <w:t>5</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6</w:t>
            </w:r>
          </w:p>
        </w:tc>
        <w:tc>
          <w:tcPr>
            <w:tcW w:w="10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7</w:t>
            </w:r>
          </w:p>
        </w:tc>
        <w:tc>
          <w:tcPr>
            <w:tcW w:w="10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8</w:t>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9</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10</w:t>
            </w:r>
          </w:p>
        </w:tc>
        <w:tc>
          <w:tcPr>
            <w:tcW w:w="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11</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12</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13</w:t>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center"/>
              <w:rPr>
                <w:rFonts w:ascii="Times New Roman" w:hAnsi="Times New Roman" w:cs="Times New Roman"/>
                <w:sz w:val="20"/>
                <w:szCs w:val="20"/>
                <w:lang w:eastAsia="ru-RU"/>
              </w:rPr>
            </w:pPr>
            <w:r>
              <w:rPr>
                <w:rFonts w:cs="Times New Roman" w:ascii="Times New Roman" w:hAnsi="Times New Roman"/>
                <w:sz w:val="20"/>
                <w:szCs w:val="20"/>
                <w:lang w:eastAsia="ru-RU"/>
              </w:rPr>
              <w:t>14</w:t>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center"/>
              <w:rPr>
                <w:rFonts w:ascii="Times New Roman" w:hAnsi="Times New Roman" w:cs="Times New Roman"/>
                <w:sz w:val="20"/>
                <w:szCs w:val="20"/>
                <w:lang w:eastAsia="ru-RU"/>
              </w:rPr>
            </w:pPr>
            <w:r>
              <w:rPr>
                <w:rFonts w:cs="Times New Roman" w:ascii="Times New Roman" w:hAnsi="Times New Roman"/>
                <w:sz w:val="20"/>
                <w:szCs w:val="20"/>
                <w:lang w:eastAsia="ru-RU"/>
              </w:rPr>
              <w:t>15</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center"/>
              <w:rPr>
                <w:rFonts w:ascii="Times New Roman" w:hAnsi="Times New Roman" w:cs="Times New Roman"/>
              </w:rPr>
            </w:pPr>
            <w:r>
              <w:rPr>
                <w:rFonts w:cs="Times New Roman" w:ascii="Times New Roman" w:hAnsi="Times New Roman"/>
                <w:sz w:val="20"/>
                <w:szCs w:val="20"/>
                <w:lang w:eastAsia="ru-RU"/>
              </w:rPr>
              <w:t>16</w:t>
            </w:r>
          </w:p>
        </w:tc>
      </w:tr>
      <w:tr>
        <w:trPr>
          <w:trHeight w:val="211" w:hRule="atLeast"/>
        </w:trPr>
        <w:tc>
          <w:tcPr>
            <w:tcW w:w="4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rPr>
            </w:pPr>
            <w:r>
              <w:rPr>
                <w:rFonts w:cs="Times New Roman" w:ascii="Times New Roman" w:hAnsi="Times New Roman"/>
                <w:sz w:val="20"/>
                <w:szCs w:val="20"/>
                <w:lang w:eastAsia="ru-RU"/>
              </w:rPr>
              <w:t>1.</w:t>
            </w:r>
          </w:p>
        </w:tc>
        <w:tc>
          <w:tcPr>
            <w:tcW w:w="14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rPr>
            </w:pPr>
            <w:r>
              <w:rPr>
                <w:rFonts w:cs="Times New Roman" w:ascii="Times New Roman" w:hAnsi="Times New Roman"/>
                <w:color w:val="000000"/>
                <w:sz w:val="20"/>
                <w:szCs w:val="20"/>
              </w:rPr>
              <w:t>Ремонт помещения для создания библиотечного пространства с музейной экспозицией в Муниципальном учреждении "Централизованная библиотечная система города Фрязино", г. Фрязино, ул. Комсомольская, 17Б</w:t>
            </w:r>
          </w:p>
        </w:tc>
        <w:tc>
          <w:tcPr>
            <w:tcW w:w="6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66"/>
              <w:rPr>
                <w:rFonts w:ascii="Times New Roman" w:hAnsi="Times New Roman" w:cs="Times New Roman"/>
                <w:sz w:val="20"/>
                <w:szCs w:val="20"/>
                <w:lang w:eastAsia="ru-RU"/>
              </w:rPr>
            </w:pPr>
            <w:r>
              <w:rPr>
                <w:rFonts w:cs="Times New Roman" w:ascii="Times New Roman" w:hAnsi="Times New Roman"/>
                <w:sz w:val="20"/>
                <w:szCs w:val="20"/>
                <w:lang w:eastAsia="ru-RU"/>
              </w:rPr>
              <w:t>2023</w:t>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66"/>
              <w:rPr>
                <w:rFonts w:ascii="Times New Roman" w:hAnsi="Times New Roman" w:cs="Times New Roman"/>
                <w:sz w:val="20"/>
                <w:szCs w:val="20"/>
                <w:lang w:eastAsia="ru-RU"/>
              </w:rPr>
            </w:pPr>
            <w:r>
              <w:rPr>
                <w:rFonts w:cs="Times New Roman" w:ascii="Times New Roman" w:hAnsi="Times New Roman"/>
                <w:sz w:val="20"/>
                <w:szCs w:val="20"/>
                <w:lang w:eastAsia="ru-RU"/>
              </w:rPr>
              <w:t>2023</w:t>
            </w:r>
          </w:p>
        </w:tc>
        <w:tc>
          <w:tcPr>
            <w:tcW w:w="10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31"/>
              <w:rPr>
                <w:rFonts w:ascii="Times New Roman" w:hAnsi="Times New Roman" w:cs="Times New Roman"/>
                <w:sz w:val="20"/>
                <w:szCs w:val="20"/>
                <w:lang w:eastAsia="ru-RU"/>
              </w:rPr>
            </w:pPr>
            <w:r>
              <w:rPr>
                <w:rFonts w:cs="Times New Roman" w:ascii="Times New Roman" w:hAnsi="Times New Roman"/>
                <w:sz w:val="20"/>
                <w:szCs w:val="20"/>
                <w:lang w:eastAsia="ru-RU"/>
              </w:rPr>
              <w:t>17607,0</w:t>
            </w:r>
          </w:p>
        </w:tc>
        <w:tc>
          <w:tcPr>
            <w:tcW w:w="10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rPr>
            </w:pPr>
            <w:r>
              <w:rPr>
                <w:rFonts w:cs="Times New Roman" w:ascii="Times New Roman" w:hAnsi="Times New Roman"/>
                <w:sz w:val="20"/>
                <w:szCs w:val="20"/>
                <w:lang w:eastAsia="ru-RU"/>
              </w:rPr>
              <w:t>Итого</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ru-RU"/>
              </w:rPr>
              <w:t>17607,0</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67" w:leader="none"/>
              </w:tabs>
              <w:suppressAutoHyphens w:val="true"/>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ru-RU"/>
              </w:rPr>
              <w:t>17607,0</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967" w:hRule="atLeast"/>
        </w:trPr>
        <w:tc>
          <w:tcPr>
            <w:tcW w:w="4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rPr>
            </w:pPr>
            <w:r>
              <w:rPr>
                <w:rFonts w:cs="Times New Roman" w:ascii="Times New Roman" w:hAnsi="Times New Roman"/>
                <w:sz w:val="20"/>
                <w:szCs w:val="20"/>
                <w:lang w:eastAsia="ru-RU"/>
              </w:rPr>
              <w:t>Средства бюджета Московской области</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ru-RU"/>
              </w:rPr>
              <w:t>7564,0</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67" w:leader="none"/>
              </w:tabs>
              <w:suppressAutoHyphens w:val="true"/>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ru-RU"/>
              </w:rPr>
              <w:t>7564,0</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616" w:hRule="atLeast"/>
        </w:trPr>
        <w:tc>
          <w:tcPr>
            <w:tcW w:w="4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rPr>
            </w:pPr>
            <w:r>
              <w:rPr>
                <w:rFonts w:cs="Times New Roman" w:ascii="Times New Roman" w:hAnsi="Times New Roman"/>
                <w:sz w:val="20"/>
                <w:szCs w:val="20"/>
                <w:lang w:eastAsia="ru-RU"/>
              </w:rPr>
              <w:t>Средства федерального бюджета</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ru-RU"/>
              </w:rPr>
              <w:t>9626,8</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67" w:leader="none"/>
              </w:tabs>
              <w:suppressAutoHyphens w:val="true"/>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ru-RU"/>
              </w:rPr>
              <w:t>9626,8</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1083" w:hRule="atLeast"/>
        </w:trPr>
        <w:tc>
          <w:tcPr>
            <w:tcW w:w="4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76" w:before="0" w:after="20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20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rPr>
            </w:pPr>
            <w:r>
              <w:rPr>
                <w:rFonts w:cs="Times New Roman" w:ascii="Times New Roman" w:hAnsi="Times New Roman"/>
                <w:sz w:val="20"/>
                <w:szCs w:val="20"/>
                <w:lang w:eastAsia="ru-RU"/>
              </w:rPr>
              <w:t>Средства бюджета городского округа Фрязино</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ru-RU"/>
              </w:rPr>
              <w:t>416,2</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67" w:leader="none"/>
              </w:tabs>
              <w:suppressAutoHyphens w:val="true"/>
              <w:spacing w:lineRule="auto" w:line="240" w:before="0" w:after="0"/>
              <w:jc w:val="both"/>
              <w:rPr>
                <w:rFonts w:ascii="Times New Roman" w:hAnsi="Times New Roman" w:cs="Times New Roman"/>
                <w:sz w:val="20"/>
                <w:szCs w:val="20"/>
              </w:rPr>
            </w:pPr>
            <w:r>
              <w:rPr>
                <w:rFonts w:cs="Times New Roman" w:ascii="Times New Roman" w:hAnsi="Times New Roman"/>
                <w:sz w:val="20"/>
                <w:szCs w:val="20"/>
                <w:lang w:eastAsia="ru-RU"/>
              </w:rPr>
              <w:t>416,2</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0" w:hRule="atLeast"/>
        </w:trPr>
        <w:tc>
          <w:tcPr>
            <w:tcW w:w="4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w:t>
            </w:r>
          </w:p>
        </w:tc>
        <w:tc>
          <w:tcPr>
            <w:tcW w:w="149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rPr>
                <w:rFonts w:ascii="Times New Roman" w:hAnsi="Times New Roman" w:eastAsia="Times New Roman" w:cs="Times New Roman"/>
                <w:sz w:val="20"/>
                <w:szCs w:val="20"/>
                <w:lang w:eastAsia="ru-RU"/>
              </w:rPr>
            </w:pPr>
            <w:r>
              <w:rPr>
                <w:rFonts w:cs="Times New Roman" w:ascii="Times New Roman" w:hAnsi="Times New Roman"/>
                <w:sz w:val="20"/>
                <w:szCs w:val="20"/>
                <w:lang w:eastAsia="ru-RU"/>
              </w:rPr>
              <w:t>Ремонт кровли в МУЧ «Дворец культуры «Исток» города Фрязино, г. Фрязино, ул. Комсомольская, д. 17</w:t>
            </w:r>
          </w:p>
        </w:tc>
        <w:tc>
          <w:tcPr>
            <w:tcW w:w="6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2024</w:t>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2024</w:t>
            </w:r>
          </w:p>
        </w:tc>
        <w:tc>
          <w:tcPr>
            <w:tcW w:w="10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lang w:eastAsia="ru-RU"/>
              </w:rPr>
              <w:t>8662,21</w:t>
            </w:r>
          </w:p>
        </w:tc>
        <w:tc>
          <w:tcPr>
            <w:tcW w:w="10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rPr>
            </w:pPr>
            <w:r>
              <w:rPr>
                <w:rFonts w:cs="Times New Roman" w:ascii="Times New Roman" w:hAnsi="Times New Roman"/>
                <w:sz w:val="20"/>
                <w:szCs w:val="20"/>
                <w:lang w:eastAsia="ru-RU"/>
              </w:rPr>
              <w:t>Итого</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8662,21</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8662,21</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0" w:hRule="atLeast"/>
        </w:trPr>
        <w:tc>
          <w:tcPr>
            <w:tcW w:w="4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rPr>
            </w:pPr>
            <w:r>
              <w:rPr>
                <w:rFonts w:cs="Times New Roman" w:ascii="Times New Roman" w:hAnsi="Times New Roman"/>
                <w:sz w:val="20"/>
                <w:szCs w:val="20"/>
                <w:lang w:eastAsia="ru-RU"/>
              </w:rPr>
              <w:t>Средства бюджета Московской области</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3633,84</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3633,84</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0" w:hRule="atLeast"/>
        </w:trPr>
        <w:tc>
          <w:tcPr>
            <w:tcW w:w="4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rPr>
            </w:pPr>
            <w:r>
              <w:rPr>
                <w:rFonts w:cs="Times New Roman" w:ascii="Times New Roman" w:hAnsi="Times New Roman"/>
                <w:sz w:val="20"/>
                <w:szCs w:val="20"/>
                <w:lang w:eastAsia="ru-RU"/>
              </w:rPr>
              <w:t>Средства федерального бюджета</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4624,9</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4624,9</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0" w:hRule="atLeast"/>
        </w:trPr>
        <w:tc>
          <w:tcPr>
            <w:tcW w:w="4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rPr>
            </w:pPr>
            <w:r>
              <w:rPr>
                <w:rFonts w:cs="Times New Roman" w:ascii="Times New Roman" w:hAnsi="Times New Roman"/>
                <w:sz w:val="20"/>
                <w:szCs w:val="20"/>
                <w:lang w:eastAsia="ru-RU"/>
              </w:rPr>
              <w:t>Средства бюджета городского округа Фрязино</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403,47</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403,47</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ind w:firstLine="720"/>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28" w:hRule="atLeast"/>
        </w:trPr>
        <w:tc>
          <w:tcPr>
            <w:tcW w:w="4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3</w:t>
            </w:r>
          </w:p>
        </w:tc>
        <w:tc>
          <w:tcPr>
            <w:tcW w:w="1491" w:type="dxa"/>
            <w:vMerge w:val="restart"/>
            <w:tcBorders>
              <w:bottom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Приобретение оборудования для МУЧ «Дворец культуры «Исток» города Фрязино», г. Фрязино, ул. Комсомольская, д. 17</w:t>
            </w:r>
          </w:p>
        </w:tc>
        <w:tc>
          <w:tcPr>
            <w:tcW w:w="6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2024</w:t>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2024</w:t>
            </w:r>
          </w:p>
        </w:tc>
        <w:tc>
          <w:tcPr>
            <w:tcW w:w="10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10499,29</w:t>
            </w:r>
          </w:p>
        </w:tc>
        <w:tc>
          <w:tcPr>
            <w:tcW w:w="10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Итого</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10499,29</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51"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10499,29</w:t>
            </w:r>
          </w:p>
        </w:tc>
        <w:tc>
          <w:tcPr>
            <w:tcW w:w="940" w:type="dxa"/>
            <w:tcBorders>
              <w:top w:val="single" w:sz="4" w:space="0" w:color="000000"/>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26" w:type="dxa"/>
            <w:tcBorders>
              <w:top w:val="single" w:sz="4" w:space="0" w:color="000000"/>
              <w:left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07" w:type="dxa"/>
            <w:tcBorders>
              <w:top w:val="single" w:sz="4" w:space="0" w:color="000000"/>
              <w:left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125" w:type="dxa"/>
            <w:tcBorders>
              <w:top w:val="single" w:sz="4" w:space="0" w:color="000000"/>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887" w:hRule="atLeast"/>
        </w:trPr>
        <w:tc>
          <w:tcPr>
            <w:tcW w:w="494"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Средства бюджета Московской области</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4404,56</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51"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4404,56</w:t>
            </w:r>
          </w:p>
        </w:tc>
        <w:tc>
          <w:tcPr>
            <w:tcW w:w="940" w:type="dxa"/>
            <w:tcBorders>
              <w:top w:val="single" w:sz="4" w:space="0" w:color="000000"/>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26" w:type="dxa"/>
            <w:tcBorders>
              <w:top w:val="single" w:sz="4" w:space="0" w:color="000000"/>
              <w:left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07" w:type="dxa"/>
            <w:tcBorders>
              <w:top w:val="single" w:sz="4" w:space="0" w:color="000000"/>
              <w:left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125" w:type="dxa"/>
            <w:tcBorders>
              <w:top w:val="single" w:sz="4" w:space="0" w:color="000000"/>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678" w:hRule="atLeast"/>
        </w:trPr>
        <w:tc>
          <w:tcPr>
            <w:tcW w:w="494"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Средства федерального бюджета</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5605,7</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51"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5605,7</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989" w:hRule="atLeast"/>
        </w:trPr>
        <w:tc>
          <w:tcPr>
            <w:tcW w:w="494"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Средства бюджета городского округа Фрязино</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489,03</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489,03</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312" w:hRule="atLeast"/>
        </w:trPr>
        <w:tc>
          <w:tcPr>
            <w:tcW w:w="4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4</w:t>
            </w:r>
          </w:p>
        </w:tc>
        <w:tc>
          <w:tcPr>
            <w:tcW w:w="149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lang w:eastAsia="ru-RU"/>
              </w:rPr>
              <w:t>Приобретение оборудования для общеобразовательных школ городского округа Фрязино</w:t>
            </w:r>
          </w:p>
        </w:tc>
        <w:tc>
          <w:tcPr>
            <w:tcW w:w="6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2025</w:t>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2027</w:t>
            </w:r>
          </w:p>
        </w:tc>
        <w:tc>
          <w:tcPr>
            <w:tcW w:w="10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52704,6</w:t>
            </w:r>
          </w:p>
        </w:tc>
        <w:tc>
          <w:tcPr>
            <w:tcW w:w="10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Итого</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67938,1</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51"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18233,5</w:t>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24579,9</w:t>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25124,7</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879" w:hRule="atLeast"/>
        </w:trPr>
        <w:tc>
          <w:tcPr>
            <w:tcW w:w="494"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Средства бюджета Московской области</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30592,1</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51"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7707,8</w:t>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11083,3</w:t>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11801</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596" w:hRule="atLeast"/>
        </w:trPr>
        <w:tc>
          <w:tcPr>
            <w:tcW w:w="494"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Средства федерального бюджета</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33228,5</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51"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9420,6</w:t>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12006,9</w:t>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11801</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1105" w:hRule="atLeast"/>
        </w:trPr>
        <w:tc>
          <w:tcPr>
            <w:tcW w:w="494"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491"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Средства бюджета городского округа Фрязино</w:t>
            </w:r>
          </w:p>
        </w:tc>
        <w:tc>
          <w:tcPr>
            <w:tcW w:w="94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4117,5</w:t>
            </w:r>
          </w:p>
        </w:tc>
        <w:tc>
          <w:tcPr>
            <w:tcW w:w="7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51"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1105,1</w:t>
            </w:r>
          </w:p>
        </w:tc>
        <w:tc>
          <w:tcPr>
            <w:tcW w:w="1226" w:type="dxa"/>
            <w:tcBorders>
              <w:top w:val="single" w:sz="4" w:space="0" w:color="000000"/>
              <w:left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1489,7</w:t>
            </w:r>
          </w:p>
        </w:tc>
        <w:tc>
          <w:tcPr>
            <w:tcW w:w="1007" w:type="dxa"/>
            <w:tcBorders>
              <w:top w:val="single" w:sz="4" w:space="0" w:color="000000"/>
              <w:left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1522,7</w:t>
            </w:r>
          </w:p>
        </w:tc>
        <w:tc>
          <w:tcPr>
            <w:tcW w:w="1125" w:type="dxa"/>
            <w:tcBorders>
              <w:top w:val="single" w:sz="4" w:space="0" w:color="000000"/>
              <w:left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240" w:hRule="atLeast"/>
        </w:trPr>
        <w:tc>
          <w:tcPr>
            <w:tcW w:w="198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Всего по мероприятию:</w:t>
            </w:r>
          </w:p>
        </w:tc>
        <w:tc>
          <w:tcPr>
            <w:tcW w:w="69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Всего:</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104706,6</w:t>
            </w:r>
          </w:p>
        </w:tc>
        <w:tc>
          <w:tcPr>
            <w:tcW w:w="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17607,0</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19161,5</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18233,5</w:t>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24579,9</w:t>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25124,7</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692" w:hRule="atLeast"/>
        </w:trPr>
        <w:tc>
          <w:tcPr>
            <w:tcW w:w="198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Средства бюджета Московской области</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46194,5</w:t>
            </w:r>
          </w:p>
        </w:tc>
        <w:tc>
          <w:tcPr>
            <w:tcW w:w="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7564,0</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8038,4</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7707,8</w:t>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11083,3</w:t>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11801,0</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466" w:hRule="atLeast"/>
        </w:trPr>
        <w:tc>
          <w:tcPr>
            <w:tcW w:w="198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Средства федерального бюджета</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53085,9</w:t>
            </w:r>
          </w:p>
        </w:tc>
        <w:tc>
          <w:tcPr>
            <w:tcW w:w="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9626,8</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10230,6</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9420,6</w:t>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12006,9</w:t>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11801,0</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r>
        <w:trPr>
          <w:trHeight w:val="1150" w:hRule="atLeast"/>
        </w:trPr>
        <w:tc>
          <w:tcPr>
            <w:tcW w:w="198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69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0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c>
          <w:tcPr>
            <w:tcW w:w="124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Средства бюджета городского округа Фрязино</w:t>
            </w:r>
          </w:p>
        </w:tc>
        <w:tc>
          <w:tcPr>
            <w:tcW w:w="9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5426,2</w:t>
            </w:r>
          </w:p>
        </w:tc>
        <w:tc>
          <w:tcPr>
            <w:tcW w:w="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416,2</w:t>
            </w:r>
          </w:p>
        </w:tc>
        <w:tc>
          <w:tcPr>
            <w:tcW w:w="9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892,5</w:t>
            </w:r>
          </w:p>
        </w:tc>
        <w:tc>
          <w:tcPr>
            <w:tcW w:w="9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1105,1</w:t>
            </w:r>
          </w:p>
        </w:tc>
        <w:tc>
          <w:tcPr>
            <w:tcW w:w="122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1489,7</w:t>
            </w:r>
          </w:p>
        </w:tc>
        <w:tc>
          <w:tcPr>
            <w:tcW w:w="10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t>1522,7</w:t>
            </w:r>
          </w:p>
        </w:tc>
        <w:tc>
          <w:tcPr>
            <w:tcW w:w="112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40" w:before="0" w:after="0"/>
              <w:rPr>
                <w:rFonts w:ascii="Times New Roman" w:hAnsi="Times New Roman" w:cs="Times New Roman"/>
                <w:sz w:val="20"/>
                <w:szCs w:val="20"/>
              </w:rPr>
            </w:pPr>
            <w:r>
              <w:rPr>
                <w:rFonts w:cs="Times New Roman" w:ascii="Times New Roman" w:hAnsi="Times New Roman"/>
                <w:sz w:val="20"/>
                <w:szCs w:val="20"/>
              </w:rPr>
            </w:r>
          </w:p>
        </w:tc>
      </w:tr>
    </w:tbl>
    <w:p>
      <w:pPr>
        <w:pStyle w:val="Normal"/>
        <w:tabs>
          <w:tab w:val="clear" w:pos="708"/>
          <w:tab w:val="left" w:pos="567" w:leader="none"/>
        </w:tabs>
        <w:suppressAutoHyphens w:val="true"/>
        <w:spacing w:before="0" w:after="0"/>
        <w:jc w:val="right"/>
        <w:rPr>
          <w:rFonts w:ascii="Times New Roman" w:hAnsi="Times New Roman" w:cs="Times New Roman"/>
          <w:lang w:eastAsia="ru-RU"/>
        </w:rPr>
      </w:pPr>
      <w:r>
        <w:rPr>
          <w:rFonts w:cs="Times New Roman" w:ascii="Times New Roman" w:hAnsi="Times New Roman"/>
          <w:lang w:eastAsia="ru-RU"/>
        </w:rPr>
        <w:t>».</w:t>
      </w:r>
    </w:p>
    <w:p>
      <w:pPr>
        <w:pStyle w:val="Normal"/>
        <w:tabs>
          <w:tab w:val="clear" w:pos="708"/>
          <w:tab w:val="left" w:pos="567" w:leader="none"/>
        </w:tabs>
        <w:suppressAutoHyphens w:val="true"/>
        <w:spacing w:before="0" w:after="0"/>
        <w:jc w:val="right"/>
        <w:rPr>
          <w:rFonts w:ascii="Times New Roman" w:hAnsi="Times New Roman" w:cs="Times New Roman"/>
          <w:lang w:eastAsia="ru-RU"/>
        </w:rPr>
      </w:pPr>
      <w:r>
        <w:rPr>
          <w:rFonts w:cs="Times New Roman" w:ascii="Times New Roman" w:hAnsi="Times New Roman"/>
          <w:lang w:eastAsia="ru-RU"/>
        </w:rPr>
      </w:r>
    </w:p>
    <w:p>
      <w:pPr>
        <w:pStyle w:val="Normal"/>
        <w:tabs>
          <w:tab w:val="clear" w:pos="708"/>
          <w:tab w:val="left" w:pos="567" w:leader="none"/>
        </w:tabs>
        <w:suppressAutoHyphens w:val="true"/>
        <w:spacing w:before="0" w:after="0"/>
        <w:jc w:val="right"/>
        <w:rPr>
          <w:rFonts w:ascii="Times New Roman" w:hAnsi="Times New Roman" w:cs="Times New Roman"/>
          <w:lang w:eastAsia="ru-RU"/>
        </w:rPr>
      </w:pPr>
      <w:r>
        <w:rPr>
          <w:rFonts w:cs="Times New Roman" w:ascii="Times New Roman" w:hAnsi="Times New Roman"/>
          <w:lang w:eastAsia="ru-RU"/>
        </w:rPr>
      </w:r>
    </w:p>
    <w:p>
      <w:pPr>
        <w:pStyle w:val="Normal"/>
        <w:tabs>
          <w:tab w:val="clear" w:pos="708"/>
          <w:tab w:val="left" w:pos="567" w:leader="none"/>
        </w:tabs>
        <w:suppressAutoHyphens w:val="true"/>
        <w:spacing w:before="0" w:after="0"/>
        <w:jc w:val="right"/>
        <w:rPr>
          <w:rFonts w:ascii="Times New Roman" w:hAnsi="Times New Roman" w:cs="Times New Roman"/>
          <w:lang w:eastAsia="ru-RU"/>
        </w:rPr>
      </w:pPr>
      <w:r>
        <w:rPr>
          <w:rFonts w:cs="Times New Roman" w:ascii="Times New Roman" w:hAnsi="Times New Roman"/>
          <w:lang w:eastAsia="ru-RU"/>
        </w:rPr>
      </w:r>
    </w:p>
    <w:p>
      <w:pPr>
        <w:pStyle w:val="Normal"/>
        <w:tabs>
          <w:tab w:val="clear" w:pos="708"/>
          <w:tab w:val="left" w:pos="567" w:leader="none"/>
        </w:tabs>
        <w:suppressAutoHyphens w:val="true"/>
        <w:spacing w:before="0" w:after="0"/>
        <w:jc w:val="right"/>
        <w:rPr>
          <w:rFonts w:ascii="Times New Roman" w:hAnsi="Times New Roman" w:cs="Times New Roman"/>
          <w:lang w:eastAsia="ru-RU"/>
        </w:rPr>
      </w:pPr>
      <w:r>
        <w:rPr>
          <w:rFonts w:cs="Times New Roman" w:ascii="Times New Roman" w:hAnsi="Times New Roman"/>
          <w:lang w:eastAsia="ru-RU"/>
        </w:rPr>
      </w:r>
    </w:p>
    <w:p>
      <w:pPr>
        <w:pStyle w:val="Normal"/>
        <w:tabs>
          <w:tab w:val="clear" w:pos="708"/>
          <w:tab w:val="left" w:pos="567" w:leader="none"/>
        </w:tabs>
        <w:suppressAutoHyphens w:val="true"/>
        <w:spacing w:before="0" w:after="0"/>
        <w:jc w:val="right"/>
        <w:rPr>
          <w:rFonts w:ascii="Times New Roman" w:hAnsi="Times New Roman" w:cs="Times New Roman"/>
          <w:lang w:eastAsia="ru-RU"/>
        </w:rPr>
      </w:pPr>
      <w:r>
        <w:rPr>
          <w:rFonts w:cs="Times New Roman" w:ascii="Times New Roman" w:hAnsi="Times New Roman"/>
          <w:lang w:eastAsia="ru-RU"/>
        </w:rPr>
      </w:r>
    </w:p>
    <w:p>
      <w:pPr>
        <w:pStyle w:val="Normal"/>
        <w:rPr>
          <w:rFonts w:ascii="Times New Roman" w:hAnsi="Times New Roman" w:cs="Times New Roman"/>
        </w:rPr>
      </w:pPr>
      <w:r>
        <w:rPr>
          <w:rFonts w:cs="Times New Roman" w:ascii="Times New Roman" w:hAnsi="Times New Roman"/>
        </w:rPr>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Приложение 5</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к постановлению Администрации</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городского округа Фрязино</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 xml:space="preserve">от </w:t>
      </w:r>
      <w:r>
        <w:rPr>
          <w:rFonts w:eastAsia="Calibri" w:cs="Times New Roman" w:ascii="Times New Roman" w:hAnsi="Times New Roman"/>
          <w:sz w:val="24"/>
          <w:szCs w:val="24"/>
          <w:lang w:eastAsia="zh-CN"/>
        </w:rPr>
        <w:t>10.09.2025</w:t>
      </w:r>
      <w:r>
        <w:rPr>
          <w:rFonts w:eastAsia="Calibri" w:cs="Times New Roman" w:ascii="Times New Roman" w:hAnsi="Times New Roman"/>
          <w:sz w:val="24"/>
          <w:szCs w:val="24"/>
          <w:lang w:eastAsia="zh-CN"/>
        </w:rPr>
        <w:t xml:space="preserve"> № </w:t>
      </w:r>
      <w:r>
        <w:rPr>
          <w:rFonts w:eastAsia="Calibri" w:cs="Times New Roman" w:ascii="Times New Roman" w:hAnsi="Times New Roman"/>
          <w:sz w:val="24"/>
          <w:szCs w:val="24"/>
          <w:lang w:eastAsia="zh-CN"/>
        </w:rPr>
        <w:t>831</w:t>
      </w:r>
    </w:p>
    <w:p>
      <w:pPr>
        <w:pStyle w:val="Normal"/>
        <w:rPr>
          <w:rFonts w:ascii="Times New Roman" w:hAnsi="Times New Roman" w:cs="Times New Roman"/>
        </w:rPr>
      </w:pPr>
      <w:r>
        <w:rPr>
          <w:rFonts w:cs="Times New Roman" w:ascii="Times New Roman" w:hAnsi="Times New Roman"/>
        </w:rPr>
      </w:r>
    </w:p>
    <w:p>
      <w:pPr>
        <w:pStyle w:val="Normal"/>
        <w:suppressAutoHyphens w:val="true"/>
        <w:spacing w:lineRule="auto" w:line="252" w:before="0" w:after="0"/>
        <w:ind w:left="360" w:hanging="0"/>
        <w:jc w:val="center"/>
        <w:rPr>
          <w:rFonts w:ascii="Times New Roman" w:hAnsi="Times New Roman" w:cs="Times New Roman"/>
        </w:rPr>
      </w:pPr>
      <w:r>
        <w:rPr>
          <w:rFonts w:cs="Times New Roman" w:ascii="Times New Roman" w:hAnsi="Times New Roman"/>
          <w:b/>
          <w:lang w:eastAsia="ru-RU"/>
        </w:rPr>
        <w:t>«6. Подпрограмма I</w:t>
      </w:r>
      <w:r>
        <w:rPr>
          <w:rFonts w:cs="Times New Roman" w:ascii="Times New Roman" w:hAnsi="Times New Roman"/>
          <w:b/>
          <w:lang w:val="en-US" w:eastAsia="ru-RU"/>
        </w:rPr>
        <w:t>II</w:t>
      </w:r>
      <w:r>
        <w:rPr>
          <w:rFonts w:cs="Times New Roman" w:ascii="Times New Roman" w:hAnsi="Times New Roman"/>
          <w:b/>
          <w:lang w:eastAsia="ru-RU"/>
        </w:rPr>
        <w:t xml:space="preserve"> «Развитие малого и среднего предпринимательства»</w:t>
      </w:r>
    </w:p>
    <w:p>
      <w:pPr>
        <w:pStyle w:val="Normal"/>
        <w:spacing w:before="0" w:after="0"/>
        <w:ind w:left="-142" w:firstLine="568"/>
        <w:jc w:val="center"/>
        <w:rPr>
          <w:rFonts w:ascii="Times New Roman" w:hAnsi="Times New Roman" w:cs="Times New Roman"/>
          <w:b/>
          <w:lang w:eastAsia="ru-RU"/>
        </w:rPr>
      </w:pPr>
      <w:r>
        <w:rPr>
          <w:rFonts w:cs="Times New Roman" w:ascii="Times New Roman" w:hAnsi="Times New Roman"/>
          <w:b/>
          <w:lang w:eastAsia="ru-RU"/>
        </w:rPr>
        <w:t>6.1. Перечень мероприятий подпрограммы I</w:t>
      </w:r>
      <w:r>
        <w:rPr>
          <w:rFonts w:cs="Times New Roman" w:ascii="Times New Roman" w:hAnsi="Times New Roman"/>
          <w:b/>
          <w:lang w:val="en-US" w:eastAsia="ru-RU"/>
        </w:rPr>
        <w:t>II</w:t>
      </w:r>
      <w:r>
        <w:rPr>
          <w:rFonts w:cs="Times New Roman" w:ascii="Times New Roman" w:hAnsi="Times New Roman"/>
          <w:b/>
          <w:lang w:eastAsia="ru-RU"/>
        </w:rPr>
        <w:t xml:space="preserve"> «Развитие малого и среднего предпринимательства»</w:t>
      </w:r>
    </w:p>
    <w:p>
      <w:pPr>
        <w:pStyle w:val="Normal"/>
        <w:spacing w:before="0" w:after="0"/>
        <w:ind w:left="-142" w:firstLine="568"/>
        <w:jc w:val="both"/>
        <w:rPr>
          <w:rFonts w:ascii="Times New Roman" w:hAnsi="Times New Roman" w:cs="Times New Roman"/>
          <w:b/>
          <w:lang w:eastAsia="ru-RU"/>
        </w:rPr>
      </w:pPr>
      <w:r>
        <w:rPr>
          <w:rFonts w:cs="Times New Roman" w:ascii="Times New Roman" w:hAnsi="Times New Roman"/>
          <w:b/>
          <w:lang w:eastAsia="ru-RU"/>
        </w:rPr>
      </w:r>
    </w:p>
    <w:tbl>
      <w:tblPr>
        <w:tblW w:w="15026" w:type="dxa"/>
        <w:jc w:val="left"/>
        <w:tblInd w:w="137" w:type="dxa"/>
        <w:tblLayout w:type="fixed"/>
        <w:tblCellMar>
          <w:top w:w="0" w:type="dxa"/>
          <w:left w:w="108" w:type="dxa"/>
          <w:bottom w:w="0" w:type="dxa"/>
          <w:right w:w="108" w:type="dxa"/>
        </w:tblCellMar>
        <w:tblLook w:firstRow="0" w:noVBand="0" w:lastRow="0" w:firstColumn="0" w:lastColumn="0" w:noHBand="0" w:val="0000"/>
      </w:tblPr>
      <w:tblGrid>
        <w:gridCol w:w="566"/>
        <w:gridCol w:w="30"/>
        <w:gridCol w:w="2975"/>
        <w:gridCol w:w="962"/>
        <w:gridCol w:w="1133"/>
        <w:gridCol w:w="993"/>
        <w:gridCol w:w="882"/>
        <w:gridCol w:w="963"/>
        <w:gridCol w:w="797"/>
        <w:gridCol w:w="566"/>
        <w:gridCol w:w="568"/>
        <w:gridCol w:w="567"/>
        <w:gridCol w:w="566"/>
        <w:gridCol w:w="849"/>
        <w:gridCol w:w="906"/>
        <w:gridCol w:w="1703"/>
      </w:tblGrid>
      <w:tr>
        <w:trPr>
          <w:trHeight w:val="297" w:hRule="atLeast"/>
          <w:cantSplit w:val="true"/>
        </w:trPr>
        <w:tc>
          <w:tcPr>
            <w:tcW w:w="566"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pacing w:lineRule="auto" w:line="240" w:before="0" w:after="0"/>
              <w:ind w:left="-142" w:right="-108" w:firstLine="24"/>
              <w:jc w:val="both"/>
              <w:rPr>
                <w:rFonts w:ascii="Times New Roman" w:hAnsi="Times New Roman" w:cs="Times New Roman"/>
                <w:sz w:val="20"/>
                <w:szCs w:val="20"/>
              </w:rPr>
            </w:pPr>
            <w:r>
              <w:rPr>
                <w:rFonts w:cs="Times New Roman" w:ascii="Times New Roman" w:hAnsi="Times New Roman"/>
                <w:sz w:val="20"/>
                <w:szCs w:val="20"/>
                <w:lang w:eastAsia="ru-RU"/>
              </w:rPr>
              <w:t>№</w:t>
            </w:r>
            <w:r>
              <w:rPr>
                <w:rFonts w:eastAsia="Times New Roman" w:cs="Times New Roman" w:ascii="Times New Roman" w:hAnsi="Times New Roman"/>
                <w:sz w:val="20"/>
                <w:szCs w:val="20"/>
                <w:lang w:eastAsia="ru-RU"/>
              </w:rPr>
              <w:t xml:space="preserve"> </w:t>
            </w:r>
            <w:r>
              <w:rPr>
                <w:rFonts w:cs="Times New Roman" w:ascii="Times New Roman" w:hAnsi="Times New Roman"/>
                <w:sz w:val="20"/>
                <w:szCs w:val="20"/>
                <w:lang w:eastAsia="ru-RU"/>
              </w:rPr>
              <w:t>п/п</w:t>
            </w:r>
          </w:p>
        </w:tc>
        <w:tc>
          <w:tcPr>
            <w:tcW w:w="3005" w:type="dxa"/>
            <w:gridSpan w:val="2"/>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pacing w:lineRule="auto" w:line="240" w:before="0" w:after="0"/>
              <w:ind w:firstLine="34"/>
              <w:jc w:val="both"/>
              <w:rPr>
                <w:rFonts w:ascii="Times New Roman" w:hAnsi="Times New Roman" w:cs="Times New Roman"/>
                <w:sz w:val="20"/>
                <w:szCs w:val="20"/>
              </w:rPr>
            </w:pPr>
            <w:r>
              <w:rPr>
                <w:rFonts w:cs="Times New Roman" w:ascii="Times New Roman" w:hAnsi="Times New Roman"/>
                <w:sz w:val="20"/>
                <w:szCs w:val="20"/>
                <w:lang w:eastAsia="ru-RU"/>
              </w:rPr>
              <w:t>Мероприятия подпрограммы</w:t>
            </w:r>
          </w:p>
        </w:tc>
        <w:tc>
          <w:tcPr>
            <w:tcW w:w="962"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pacing w:lineRule="auto" w:line="240" w:before="0" w:after="0"/>
              <w:ind w:firstLine="33"/>
              <w:jc w:val="both"/>
              <w:rPr>
                <w:rFonts w:ascii="Times New Roman" w:hAnsi="Times New Roman" w:cs="Times New Roman"/>
                <w:sz w:val="20"/>
                <w:szCs w:val="20"/>
              </w:rPr>
            </w:pPr>
            <w:r>
              <w:rPr>
                <w:rFonts w:cs="Times New Roman" w:ascii="Times New Roman" w:hAnsi="Times New Roman"/>
                <w:sz w:val="20"/>
                <w:szCs w:val="20"/>
                <w:lang w:eastAsia="ru-RU"/>
              </w:rPr>
              <w:t>Срок исполнения мероприятия</w:t>
            </w:r>
          </w:p>
        </w:tc>
        <w:tc>
          <w:tcPr>
            <w:tcW w:w="1133"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pacing w:lineRule="auto" w:line="240" w:before="0" w:after="0"/>
              <w:ind w:left="-108" w:firstLine="29"/>
              <w:jc w:val="both"/>
              <w:rPr>
                <w:rFonts w:ascii="Times New Roman" w:hAnsi="Times New Roman" w:cs="Times New Roman"/>
                <w:sz w:val="20"/>
                <w:szCs w:val="20"/>
              </w:rPr>
            </w:pPr>
            <w:r>
              <w:rPr>
                <w:rFonts w:cs="Times New Roman" w:ascii="Times New Roman" w:hAnsi="Times New Roman"/>
                <w:sz w:val="20"/>
                <w:szCs w:val="20"/>
                <w:lang w:eastAsia="ru-RU"/>
              </w:rPr>
              <w:t>Источники финансирования</w:t>
            </w:r>
          </w:p>
        </w:tc>
        <w:tc>
          <w:tcPr>
            <w:tcW w:w="993"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pacing w:lineRule="auto" w:line="240" w:before="0" w:after="0"/>
              <w:ind w:left="-78" w:hanging="29"/>
              <w:jc w:val="both"/>
              <w:rPr>
                <w:rFonts w:ascii="Times New Roman" w:hAnsi="Times New Roman" w:cs="Times New Roman"/>
                <w:sz w:val="20"/>
                <w:szCs w:val="20"/>
              </w:rPr>
            </w:pPr>
            <w:r>
              <w:rPr>
                <w:rFonts w:cs="Times New Roman" w:ascii="Times New Roman" w:hAnsi="Times New Roman"/>
                <w:sz w:val="20"/>
                <w:szCs w:val="20"/>
                <w:lang w:eastAsia="ru-RU"/>
              </w:rPr>
              <w:t>Всего, тыс. руб.</w:t>
            </w:r>
          </w:p>
        </w:tc>
        <w:tc>
          <w:tcPr>
            <w:tcW w:w="6664"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142" w:firstLine="175"/>
              <w:jc w:val="center"/>
              <w:rPr>
                <w:rFonts w:ascii="Times New Roman" w:hAnsi="Times New Roman" w:cs="Times New Roman"/>
                <w:sz w:val="20"/>
                <w:szCs w:val="20"/>
              </w:rPr>
            </w:pPr>
            <w:r>
              <w:rPr>
                <w:rFonts w:cs="Times New Roman" w:ascii="Times New Roman" w:hAnsi="Times New Roman"/>
                <w:sz w:val="20"/>
                <w:szCs w:val="20"/>
                <w:lang w:eastAsia="ru-RU"/>
              </w:rPr>
              <w:t>Объем финансирования по годам,</w:t>
            </w:r>
          </w:p>
          <w:p>
            <w:pPr>
              <w:pStyle w:val="Normal"/>
              <w:widowControl w:val="false"/>
              <w:suppressAutoHyphens w:val="true"/>
              <w:spacing w:lineRule="auto" w:line="240" w:before="0" w:after="0"/>
              <w:ind w:left="-142" w:firstLine="568"/>
              <w:jc w:val="center"/>
              <w:rPr>
                <w:rFonts w:ascii="Times New Roman" w:hAnsi="Times New Roman" w:cs="Times New Roman"/>
                <w:sz w:val="20"/>
                <w:szCs w:val="20"/>
              </w:rPr>
            </w:pPr>
            <w:r>
              <w:rPr>
                <w:rFonts w:cs="Times New Roman" w:ascii="Times New Roman" w:hAnsi="Times New Roman"/>
                <w:sz w:val="20"/>
                <w:szCs w:val="20"/>
                <w:lang w:eastAsia="ru-RU"/>
              </w:rPr>
              <w:t>тыс. руб.</w:t>
            </w:r>
          </w:p>
        </w:tc>
        <w:tc>
          <w:tcPr>
            <w:tcW w:w="170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40" w:before="0" w:after="0"/>
              <w:ind w:left="34" w:right="34" w:hanging="0"/>
              <w:jc w:val="both"/>
              <w:rPr>
                <w:rFonts w:ascii="Times New Roman" w:hAnsi="Times New Roman" w:cs="Times New Roman"/>
                <w:sz w:val="20"/>
                <w:szCs w:val="20"/>
              </w:rPr>
            </w:pPr>
            <w:r>
              <w:rPr>
                <w:rFonts w:cs="Times New Roman" w:ascii="Times New Roman" w:hAnsi="Times New Roman"/>
                <w:sz w:val="20"/>
                <w:szCs w:val="20"/>
                <w:lang w:eastAsia="ru-RU"/>
              </w:rPr>
              <w:t>Ответственные за выполнение мероприятия подпрограммы</w:t>
            </w:r>
          </w:p>
        </w:tc>
      </w:tr>
      <w:tr>
        <w:trPr>
          <w:trHeight w:val="297" w:hRule="atLeast"/>
          <w:cantSplit w:val="true"/>
        </w:trPr>
        <w:tc>
          <w:tcPr>
            <w:tcW w:w="566"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05" w:type="dxa"/>
            <w:gridSpan w:val="2"/>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2"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33"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3" w:type="dxa"/>
            <w:vMerge w:val="continue"/>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82" w:type="dxa"/>
            <w:tcBorders>
              <w:left w:val="single" w:sz="4" w:space="0" w:color="000000"/>
              <w:bottom w:val="single" w:sz="4" w:space="0" w:color="000000"/>
              <w:right w:val="single" w:sz="4" w:space="0" w:color="000000"/>
            </w:tcBorders>
            <w:vAlign w:val="center"/>
          </w:tcPr>
          <w:p>
            <w:pPr>
              <w:pStyle w:val="Normal"/>
              <w:widowControl w:val="false"/>
              <w:suppressAutoHyphens w:val="true"/>
              <w:spacing w:before="0" w:after="0"/>
              <w:ind w:left="-142"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2023</w:t>
            </w:r>
          </w:p>
        </w:tc>
        <w:tc>
          <w:tcPr>
            <w:tcW w:w="963" w:type="dxa"/>
            <w:tcBorders>
              <w:left w:val="single" w:sz="4" w:space="0" w:color="000000"/>
              <w:bottom w:val="single" w:sz="4" w:space="0" w:color="000000"/>
              <w:right w:val="single" w:sz="4" w:space="0" w:color="000000"/>
            </w:tcBorders>
            <w:vAlign w:val="center"/>
          </w:tcPr>
          <w:p>
            <w:pPr>
              <w:pStyle w:val="Normal"/>
              <w:widowControl w:val="false"/>
              <w:suppressAutoHyphens w:val="true"/>
              <w:spacing w:before="0" w:after="0"/>
              <w:ind w:left="-142" w:firstLine="175"/>
              <w:jc w:val="center"/>
              <w:rPr>
                <w:rFonts w:ascii="Times New Roman" w:hAnsi="Times New Roman" w:cs="Times New Roman"/>
                <w:sz w:val="20"/>
                <w:szCs w:val="20"/>
              </w:rPr>
            </w:pPr>
            <w:r>
              <w:rPr>
                <w:rFonts w:cs="Times New Roman" w:ascii="Times New Roman" w:hAnsi="Times New Roman"/>
                <w:sz w:val="20"/>
                <w:szCs w:val="20"/>
              </w:rPr>
              <w:t>2024</w:t>
            </w:r>
          </w:p>
        </w:tc>
        <w:tc>
          <w:tcPr>
            <w:tcW w:w="3064" w:type="dxa"/>
            <w:gridSpan w:val="5"/>
            <w:tcBorders>
              <w:left w:val="single" w:sz="4" w:space="0" w:color="000000"/>
              <w:bottom w:val="single" w:sz="4" w:space="0" w:color="000000"/>
            </w:tcBorders>
            <w:shd w:color="auto" w:fill="auto" w:val="clear"/>
            <w:vAlign w:val="center"/>
          </w:tcPr>
          <w:p>
            <w:pPr>
              <w:pStyle w:val="Normal"/>
              <w:widowControl w:val="false"/>
              <w:suppressAutoHyphens w:val="true"/>
              <w:spacing w:before="0" w:after="0"/>
              <w:ind w:left="-142" w:firstLine="175"/>
              <w:jc w:val="center"/>
              <w:rPr>
                <w:rFonts w:ascii="Times New Roman" w:hAnsi="Times New Roman" w:cs="Times New Roman"/>
                <w:sz w:val="20"/>
                <w:szCs w:val="20"/>
              </w:rPr>
            </w:pPr>
            <w:r>
              <w:rPr>
                <w:rFonts w:cs="Times New Roman" w:ascii="Times New Roman" w:hAnsi="Times New Roman"/>
                <w:sz w:val="20"/>
                <w:szCs w:val="20"/>
                <w:lang w:eastAsia="ru-RU"/>
              </w:rPr>
              <w:t>2025</w:t>
            </w:r>
          </w:p>
        </w:tc>
        <w:tc>
          <w:tcPr>
            <w:tcW w:w="849" w:type="dxa"/>
            <w:tcBorders>
              <w:left w:val="single" w:sz="4" w:space="0" w:color="000000"/>
              <w:bottom w:val="single" w:sz="4" w:space="0" w:color="000000"/>
            </w:tcBorders>
            <w:shd w:color="auto" w:fill="auto" w:val="clear"/>
            <w:vAlign w:val="center"/>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2026</w:t>
            </w:r>
          </w:p>
        </w:tc>
        <w:tc>
          <w:tcPr>
            <w:tcW w:w="906" w:type="dxa"/>
            <w:tcBorders>
              <w:left w:val="single" w:sz="4" w:space="0" w:color="000000"/>
              <w:bottom w:val="single" w:sz="4" w:space="0" w:color="000000"/>
            </w:tcBorders>
            <w:shd w:color="auto" w:fill="auto" w:val="clear"/>
            <w:vAlign w:val="center"/>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2027</w:t>
            </w:r>
          </w:p>
        </w:tc>
        <w:tc>
          <w:tcPr>
            <w:tcW w:w="1703"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97" w:hRule="atLeast"/>
          <w:cantSplit w:val="true"/>
        </w:trPr>
        <w:tc>
          <w:tcPr>
            <w:tcW w:w="5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before="0" w:after="0"/>
              <w:ind w:left="34" w:hanging="0"/>
              <w:jc w:val="center"/>
              <w:rPr>
                <w:rFonts w:ascii="Times New Roman" w:hAnsi="Times New Roman" w:cs="Times New Roman"/>
                <w:sz w:val="20"/>
                <w:szCs w:val="20"/>
              </w:rPr>
            </w:pPr>
            <w:r>
              <w:rPr>
                <w:rFonts w:cs="Times New Roman" w:ascii="Times New Roman" w:hAnsi="Times New Roman"/>
                <w:sz w:val="20"/>
                <w:szCs w:val="20"/>
                <w:lang w:eastAsia="ru-RU"/>
              </w:rPr>
              <w:t>1</w:t>
            </w:r>
          </w:p>
        </w:tc>
        <w:tc>
          <w:tcPr>
            <w:tcW w:w="300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before="0" w:after="0"/>
              <w:ind w:left="-142" w:firstLine="568"/>
              <w:jc w:val="center"/>
              <w:rPr>
                <w:rFonts w:ascii="Times New Roman" w:hAnsi="Times New Roman" w:cs="Times New Roman"/>
                <w:sz w:val="20"/>
                <w:szCs w:val="20"/>
              </w:rPr>
            </w:pPr>
            <w:r>
              <w:rPr>
                <w:rFonts w:cs="Times New Roman" w:ascii="Times New Roman" w:hAnsi="Times New Roman"/>
                <w:sz w:val="20"/>
                <w:szCs w:val="20"/>
                <w:lang w:eastAsia="ru-RU"/>
              </w:rPr>
              <w:t>2</w:t>
            </w:r>
          </w:p>
        </w:tc>
        <w:tc>
          <w:tcPr>
            <w:tcW w:w="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before="0" w:after="0"/>
              <w:ind w:left="-142" w:firstLine="318"/>
              <w:jc w:val="center"/>
              <w:rPr>
                <w:rFonts w:ascii="Times New Roman" w:hAnsi="Times New Roman" w:cs="Times New Roman"/>
                <w:sz w:val="20"/>
                <w:szCs w:val="20"/>
              </w:rPr>
            </w:pPr>
            <w:r>
              <w:rPr>
                <w:rFonts w:cs="Times New Roman" w:ascii="Times New Roman" w:hAnsi="Times New Roman"/>
                <w:sz w:val="20"/>
                <w:szCs w:val="20"/>
                <w:lang w:eastAsia="ru-RU"/>
              </w:rPr>
              <w:t>3</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before="0" w:after="0"/>
              <w:ind w:left="-142" w:firstLine="35"/>
              <w:jc w:val="center"/>
              <w:rPr>
                <w:rFonts w:ascii="Times New Roman" w:hAnsi="Times New Roman" w:cs="Times New Roman"/>
                <w:sz w:val="20"/>
                <w:szCs w:val="20"/>
              </w:rPr>
            </w:pPr>
            <w:r>
              <w:rPr>
                <w:rFonts w:cs="Times New Roman" w:ascii="Times New Roman" w:hAnsi="Times New Roman"/>
                <w:sz w:val="20"/>
                <w:szCs w:val="20"/>
                <w:lang w:eastAsia="ru-RU"/>
              </w:rPr>
              <w:t>4</w:t>
            </w:r>
          </w:p>
        </w:tc>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before="0" w:after="0"/>
              <w:ind w:left="-142" w:firstLine="318"/>
              <w:jc w:val="center"/>
              <w:rPr>
                <w:rFonts w:ascii="Times New Roman" w:hAnsi="Times New Roman" w:cs="Times New Roman"/>
                <w:sz w:val="20"/>
                <w:szCs w:val="20"/>
              </w:rPr>
            </w:pPr>
            <w:r>
              <w:rPr>
                <w:rFonts w:cs="Times New Roman" w:ascii="Times New Roman" w:hAnsi="Times New Roman"/>
                <w:sz w:val="20"/>
                <w:szCs w:val="20"/>
              </w:rPr>
              <w:t>5</w:t>
            </w:r>
          </w:p>
        </w:tc>
        <w:tc>
          <w:tcPr>
            <w:tcW w:w="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ind w:left="-142" w:firstLine="35"/>
              <w:jc w:val="center"/>
              <w:rPr>
                <w:rFonts w:ascii="Times New Roman" w:hAnsi="Times New Roman" w:cs="Times New Roman"/>
                <w:sz w:val="20"/>
                <w:szCs w:val="20"/>
              </w:rPr>
            </w:pPr>
            <w:r>
              <w:rPr>
                <w:rFonts w:cs="Times New Roman" w:ascii="Times New Roman" w:hAnsi="Times New Roman"/>
                <w:sz w:val="20"/>
                <w:szCs w:val="20"/>
              </w:rPr>
              <w:t>6</w:t>
            </w:r>
          </w:p>
        </w:tc>
        <w:tc>
          <w:tcPr>
            <w:tcW w:w="9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ind w:left="-142" w:firstLine="6"/>
              <w:jc w:val="center"/>
              <w:rPr>
                <w:rFonts w:ascii="Times New Roman" w:hAnsi="Times New Roman" w:cs="Times New Roman"/>
                <w:sz w:val="20"/>
                <w:szCs w:val="20"/>
              </w:rPr>
            </w:pPr>
            <w:r>
              <w:rPr>
                <w:rFonts w:cs="Times New Roman" w:ascii="Times New Roman" w:hAnsi="Times New Roman"/>
                <w:sz w:val="20"/>
                <w:szCs w:val="20"/>
              </w:rPr>
              <w:t>7</w:t>
            </w:r>
          </w:p>
        </w:tc>
        <w:tc>
          <w:tcPr>
            <w:tcW w:w="3064"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before="0" w:after="0"/>
              <w:ind w:left="-142" w:firstLine="176"/>
              <w:jc w:val="center"/>
              <w:rPr>
                <w:rFonts w:ascii="Times New Roman" w:hAnsi="Times New Roman" w:cs="Times New Roman"/>
                <w:sz w:val="20"/>
                <w:szCs w:val="20"/>
              </w:rPr>
            </w:pPr>
            <w:r>
              <w:rPr>
                <w:rFonts w:cs="Times New Roman" w:ascii="Times New Roman" w:hAnsi="Times New Roman"/>
                <w:sz w:val="20"/>
                <w:szCs w:val="20"/>
              </w:rPr>
              <w:t>8</w:t>
            </w:r>
          </w:p>
        </w:tc>
        <w:tc>
          <w:tcPr>
            <w:tcW w:w="8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before="0" w:after="0"/>
              <w:ind w:left="-142" w:firstLine="34"/>
              <w:jc w:val="center"/>
              <w:rPr>
                <w:rFonts w:ascii="Times New Roman" w:hAnsi="Times New Roman" w:cs="Times New Roman"/>
                <w:sz w:val="20"/>
                <w:szCs w:val="20"/>
              </w:rPr>
            </w:pPr>
            <w:r>
              <w:rPr>
                <w:rFonts w:cs="Times New Roman" w:ascii="Times New Roman" w:hAnsi="Times New Roman"/>
                <w:sz w:val="20"/>
                <w:szCs w:val="20"/>
              </w:rPr>
              <w:t>9</w:t>
            </w:r>
          </w:p>
        </w:tc>
        <w:tc>
          <w:tcPr>
            <w:tcW w:w="9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before="0" w:after="0"/>
              <w:ind w:left="-142" w:firstLine="34"/>
              <w:jc w:val="center"/>
              <w:rPr>
                <w:rFonts w:ascii="Times New Roman" w:hAnsi="Times New Roman" w:cs="Times New Roman"/>
                <w:sz w:val="20"/>
                <w:szCs w:val="20"/>
              </w:rPr>
            </w:pPr>
            <w:r>
              <w:rPr>
                <w:rFonts w:cs="Times New Roman" w:ascii="Times New Roman" w:hAnsi="Times New Roman"/>
                <w:sz w:val="20"/>
                <w:szCs w:val="20"/>
              </w:rPr>
              <w:t>10</w:t>
            </w:r>
          </w:p>
        </w:tc>
        <w:tc>
          <w:tcPr>
            <w:tcW w:w="17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before="0" w:after="0"/>
              <w:ind w:left="-142" w:firstLine="34"/>
              <w:jc w:val="center"/>
              <w:rPr>
                <w:rFonts w:ascii="Times New Roman" w:hAnsi="Times New Roman" w:cs="Times New Roman"/>
                <w:sz w:val="20"/>
                <w:szCs w:val="20"/>
              </w:rPr>
            </w:pPr>
            <w:r>
              <w:rPr>
                <w:rFonts w:cs="Times New Roman" w:ascii="Times New Roman" w:hAnsi="Times New Roman"/>
                <w:sz w:val="20"/>
                <w:szCs w:val="20"/>
              </w:rPr>
              <w:t>11</w:t>
            </w:r>
          </w:p>
        </w:tc>
      </w:tr>
      <w:tr>
        <w:trPr>
          <w:trHeight w:val="1279" w:hRule="atLeast"/>
          <w:cantSplit w:val="true"/>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300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34" w:right="175" w:hanging="0"/>
              <w:jc w:val="both"/>
              <w:rPr>
                <w:rFonts w:ascii="Times New Roman" w:hAnsi="Times New Roman" w:cs="Times New Roman"/>
                <w:sz w:val="20"/>
                <w:szCs w:val="20"/>
              </w:rPr>
            </w:pPr>
            <w:r>
              <w:rPr>
                <w:rFonts w:cs="Times New Roman" w:ascii="Times New Roman" w:hAnsi="Times New Roman"/>
                <w:sz w:val="20"/>
                <w:szCs w:val="20"/>
                <w:lang w:eastAsia="ru-RU"/>
              </w:rPr>
              <w:t>Основное мероприятие 02.</w:t>
            </w:r>
          </w:p>
          <w:p>
            <w:pPr>
              <w:pStyle w:val="Normal"/>
              <w:widowControl w:val="false"/>
              <w:suppressAutoHyphens w:val="true"/>
              <w:spacing w:before="0" w:after="0"/>
              <w:ind w:left="34" w:right="175" w:hanging="0"/>
              <w:jc w:val="both"/>
              <w:rPr>
                <w:rFonts w:ascii="Times New Roman" w:hAnsi="Times New Roman" w:cs="Times New Roman"/>
                <w:sz w:val="20"/>
                <w:szCs w:val="20"/>
              </w:rPr>
            </w:pPr>
            <w:r>
              <w:rPr>
                <w:rFonts w:cs="Times New Roman" w:ascii="Times New Roman" w:hAnsi="Times New Roman"/>
                <w:sz w:val="20"/>
                <w:szCs w:val="20"/>
                <w:lang w:eastAsia="ru-RU"/>
              </w:rPr>
              <w:t>Реализация механизмов муниципальной поддержки субъектов малого и среднего предпринимательства</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43" w:hanging="0"/>
              <w:jc w:val="both"/>
              <w:rPr>
                <w:rFonts w:ascii="Times New Roman" w:hAnsi="Times New Roman" w:cs="Times New Roman"/>
                <w:sz w:val="20"/>
                <w:szCs w:val="20"/>
              </w:rPr>
            </w:pPr>
            <w:r>
              <w:rPr>
                <w:rFonts w:cs="Times New Roman" w:ascii="Times New Roman" w:hAnsi="Times New Roman"/>
                <w:sz w:val="20"/>
                <w:szCs w:val="20"/>
                <w:lang w:eastAsia="ru-RU"/>
              </w:rPr>
              <w:t>2023-2027</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33" w:hanging="0"/>
              <w:jc w:val="both"/>
              <w:rPr>
                <w:rFonts w:ascii="Times New Roman" w:hAnsi="Times New Roman" w:cs="Times New Roman"/>
                <w:sz w:val="20"/>
                <w:szCs w:val="20"/>
              </w:rPr>
            </w:pPr>
            <w:r>
              <w:rPr>
                <w:rFonts w:cs="Times New Roman" w:ascii="Times New Roman" w:hAnsi="Times New Roman"/>
                <w:sz w:val="20"/>
                <w:szCs w:val="20"/>
                <w:lang w:eastAsia="ru-RU"/>
              </w:rPr>
              <w:t>средства бюджета городского округа Фрязино</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675" w:firstLine="568"/>
              <w:jc w:val="both"/>
              <w:rPr>
                <w:rFonts w:ascii="Times New Roman" w:hAnsi="Times New Roman" w:cs="Times New Roman"/>
                <w:sz w:val="20"/>
                <w:szCs w:val="20"/>
              </w:rPr>
            </w:pPr>
            <w:r>
              <w:rPr>
                <w:rFonts w:cs="Times New Roman" w:ascii="Times New Roman" w:hAnsi="Times New Roman"/>
                <w:sz w:val="20"/>
                <w:szCs w:val="20"/>
                <w:lang w:eastAsia="ru-RU"/>
              </w:rPr>
              <w:t>7000</w:t>
            </w:r>
          </w:p>
        </w:tc>
        <w:tc>
          <w:tcPr>
            <w:tcW w:w="8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318"/>
              <w:jc w:val="both"/>
              <w:rPr>
                <w:rFonts w:ascii="Times New Roman" w:hAnsi="Times New Roman" w:cs="Times New Roman"/>
                <w:sz w:val="20"/>
                <w:szCs w:val="20"/>
              </w:rPr>
            </w:pPr>
            <w:r>
              <w:rPr>
                <w:rFonts w:cs="Times New Roman" w:ascii="Times New Roman" w:hAnsi="Times New Roman"/>
                <w:sz w:val="20"/>
                <w:szCs w:val="20"/>
                <w:lang w:eastAsia="ru-RU"/>
              </w:rPr>
              <w:t>1500</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42"/>
              <w:jc w:val="center"/>
              <w:rPr>
                <w:rFonts w:ascii="Times New Roman" w:hAnsi="Times New Roman" w:cs="Times New Roman"/>
                <w:sz w:val="20"/>
                <w:szCs w:val="20"/>
              </w:rPr>
            </w:pPr>
            <w:r>
              <w:rPr>
                <w:rFonts w:cs="Times New Roman" w:ascii="Times New Roman" w:hAnsi="Times New Roman"/>
                <w:sz w:val="20"/>
                <w:szCs w:val="20"/>
                <w:lang w:eastAsia="ru-RU"/>
              </w:rPr>
              <w:t>1500</w:t>
            </w:r>
          </w:p>
        </w:tc>
        <w:tc>
          <w:tcPr>
            <w:tcW w:w="306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34"/>
              <w:jc w:val="center"/>
              <w:rPr>
                <w:rFonts w:ascii="Times New Roman" w:hAnsi="Times New Roman" w:cs="Times New Roman"/>
                <w:sz w:val="20"/>
                <w:szCs w:val="20"/>
              </w:rPr>
            </w:pPr>
            <w:r>
              <w:rPr>
                <w:rFonts w:cs="Times New Roman" w:ascii="Times New Roman" w:hAnsi="Times New Roman"/>
                <w:sz w:val="20"/>
                <w:szCs w:val="20"/>
                <w:lang w:eastAsia="ru-RU"/>
              </w:rPr>
              <w:t>0</w:t>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42"/>
              <w:jc w:val="both"/>
              <w:rPr>
                <w:rFonts w:ascii="Times New Roman" w:hAnsi="Times New Roman" w:cs="Times New Roman"/>
                <w:sz w:val="20"/>
                <w:szCs w:val="20"/>
              </w:rPr>
            </w:pPr>
            <w:r>
              <w:rPr>
                <w:rFonts w:cs="Times New Roman" w:ascii="Times New Roman" w:hAnsi="Times New Roman"/>
                <w:sz w:val="20"/>
                <w:szCs w:val="20"/>
                <w:lang w:eastAsia="ru-RU"/>
              </w:rPr>
              <w:t>2000</w:t>
            </w:r>
          </w:p>
        </w:tc>
        <w:tc>
          <w:tcPr>
            <w:tcW w:w="9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318"/>
              <w:jc w:val="both"/>
              <w:rPr>
                <w:rFonts w:ascii="Times New Roman" w:hAnsi="Times New Roman" w:cs="Times New Roman"/>
                <w:sz w:val="20"/>
                <w:szCs w:val="20"/>
              </w:rPr>
            </w:pPr>
            <w:r>
              <w:rPr>
                <w:rFonts w:cs="Times New Roman" w:ascii="Times New Roman" w:hAnsi="Times New Roman"/>
                <w:sz w:val="20"/>
                <w:szCs w:val="20"/>
                <w:lang w:eastAsia="ru-RU"/>
              </w:rPr>
              <w:t>2000</w:t>
            </w:r>
          </w:p>
        </w:tc>
        <w:tc>
          <w:tcPr>
            <w:tcW w:w="17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both"/>
              <w:rPr>
                <w:rFonts w:ascii="Times New Roman" w:hAnsi="Times New Roman" w:cs="Times New Roman"/>
                <w:sz w:val="20"/>
                <w:szCs w:val="20"/>
              </w:rPr>
            </w:pPr>
            <w:r>
              <w:rPr>
                <w:rFonts w:cs="Times New Roman" w:ascii="Times New Roman" w:hAnsi="Times New Roman"/>
                <w:sz w:val="20"/>
                <w:szCs w:val="20"/>
                <w:lang w:eastAsia="ru-RU"/>
              </w:rPr>
              <w:t>отдел инвестиционной политики и развития Наукограда</w:t>
            </w:r>
          </w:p>
        </w:tc>
      </w:tr>
      <w:tr>
        <w:trPr>
          <w:trHeight w:val="411" w:hRule="atLeast"/>
          <w:cantSplit w:val="true"/>
        </w:trPr>
        <w:tc>
          <w:tcPr>
            <w:tcW w:w="566" w:type="dxa"/>
            <w:vMerge w:val="restart"/>
            <w:tcBorders>
              <w:top w:val="single" w:sz="4" w:space="0" w:color="000000"/>
              <w:left w:val="single" w:sz="4" w:space="0" w:color="000000"/>
              <w:right w:val="single" w:sz="4" w:space="0" w:color="000000"/>
            </w:tcBorders>
            <w:shd w:color="auto" w:fill="auto" w:val="clear"/>
          </w:tcPr>
          <w:p>
            <w:pPr>
              <w:pStyle w:val="Normal"/>
              <w:widowControl w:val="false"/>
              <w:suppressAutoHyphens w:val="true"/>
              <w:spacing w:lineRule="auto" w:line="240"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1.1.</w:t>
            </w:r>
          </w:p>
        </w:tc>
        <w:tc>
          <w:tcPr>
            <w:tcW w:w="300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34" w:right="175" w:hanging="0"/>
              <w:jc w:val="both"/>
              <w:rPr>
                <w:rFonts w:ascii="Times New Roman" w:hAnsi="Times New Roman" w:cs="Times New Roman"/>
                <w:sz w:val="20"/>
                <w:szCs w:val="20"/>
              </w:rPr>
            </w:pPr>
            <w:r>
              <w:rPr>
                <w:rFonts w:cs="Times New Roman" w:ascii="Times New Roman" w:hAnsi="Times New Roman"/>
                <w:sz w:val="20"/>
                <w:szCs w:val="20"/>
                <w:lang w:eastAsia="ru-RU"/>
              </w:rPr>
              <w:t>Мероприятие 02.01.</w:t>
            </w:r>
          </w:p>
          <w:p>
            <w:pPr>
              <w:pStyle w:val="Normal"/>
              <w:widowControl w:val="false"/>
              <w:suppressAutoHyphens w:val="true"/>
              <w:spacing w:before="0" w:after="0"/>
              <w:ind w:left="34" w:right="175" w:hanging="0"/>
              <w:jc w:val="both"/>
              <w:rPr>
                <w:rFonts w:ascii="Times New Roman" w:hAnsi="Times New Roman" w:cs="Times New Roman"/>
                <w:sz w:val="20"/>
                <w:szCs w:val="20"/>
              </w:rPr>
            </w:pPr>
            <w:r>
              <w:rPr>
                <w:rFonts w:cs="Times New Roman" w:ascii="Times New Roman" w:hAnsi="Times New Roman"/>
                <w:sz w:val="20"/>
                <w:szCs w:val="20"/>
                <w:lang w:eastAsia="ru-RU"/>
              </w:rPr>
              <w:t>Частичная компенсация субъектам малого и среднего предпринимательства затрат, связанных с приобретением оборудования</w:t>
            </w:r>
          </w:p>
        </w:tc>
        <w:tc>
          <w:tcPr>
            <w:tcW w:w="962"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08" w:right="-250" w:hanging="0"/>
              <w:jc w:val="both"/>
              <w:rPr>
                <w:rFonts w:ascii="Times New Roman" w:hAnsi="Times New Roman" w:cs="Times New Roman"/>
                <w:sz w:val="20"/>
                <w:szCs w:val="20"/>
              </w:rPr>
            </w:pPr>
            <w:r>
              <w:rPr>
                <w:rFonts w:cs="Times New Roman" w:ascii="Times New Roman" w:hAnsi="Times New Roman"/>
                <w:sz w:val="20"/>
                <w:szCs w:val="20"/>
                <w:lang w:eastAsia="ru-RU"/>
              </w:rPr>
              <w:t>2023-2027</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60" w:right="175" w:firstLine="142"/>
              <w:jc w:val="both"/>
              <w:rPr>
                <w:rFonts w:ascii="Times New Roman" w:hAnsi="Times New Roman" w:cs="Times New Roman"/>
                <w:sz w:val="20"/>
                <w:szCs w:val="20"/>
              </w:rPr>
            </w:pPr>
            <w:r>
              <w:rPr>
                <w:rFonts w:cs="Times New Roman" w:ascii="Times New Roman" w:hAnsi="Times New Roman"/>
                <w:sz w:val="20"/>
                <w:szCs w:val="20"/>
                <w:lang w:eastAsia="ru-RU"/>
              </w:rPr>
              <w:t>итого</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60" w:right="175" w:hanging="60"/>
              <w:jc w:val="both"/>
              <w:rPr>
                <w:rFonts w:ascii="Times New Roman" w:hAnsi="Times New Roman" w:cs="Times New Roman"/>
                <w:sz w:val="20"/>
                <w:szCs w:val="20"/>
              </w:rPr>
            </w:pPr>
            <w:r>
              <w:rPr>
                <w:rFonts w:cs="Times New Roman" w:ascii="Times New Roman" w:hAnsi="Times New Roman"/>
                <w:sz w:val="20"/>
                <w:szCs w:val="20"/>
                <w:lang w:eastAsia="ru-RU"/>
              </w:rPr>
              <w:t>4600</w:t>
            </w:r>
          </w:p>
        </w:tc>
        <w:tc>
          <w:tcPr>
            <w:tcW w:w="8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60" w:right="175" w:hanging="60"/>
              <w:jc w:val="both"/>
              <w:rPr>
                <w:rFonts w:ascii="Times New Roman" w:hAnsi="Times New Roman" w:cs="Times New Roman"/>
                <w:sz w:val="20"/>
                <w:szCs w:val="20"/>
              </w:rPr>
            </w:pPr>
            <w:r>
              <w:rPr>
                <w:rFonts w:cs="Times New Roman" w:ascii="Times New Roman" w:hAnsi="Times New Roman"/>
                <w:sz w:val="20"/>
                <w:szCs w:val="20"/>
                <w:lang w:eastAsia="ru-RU"/>
              </w:rPr>
              <w:t>1000</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23" w:right="175" w:hanging="60"/>
              <w:jc w:val="center"/>
              <w:rPr>
                <w:rFonts w:ascii="Times New Roman" w:hAnsi="Times New Roman" w:cs="Times New Roman"/>
                <w:sz w:val="20"/>
                <w:szCs w:val="20"/>
              </w:rPr>
            </w:pPr>
            <w:r>
              <w:rPr>
                <w:rFonts w:cs="Times New Roman" w:ascii="Times New Roman" w:hAnsi="Times New Roman"/>
                <w:sz w:val="20"/>
                <w:szCs w:val="20"/>
                <w:lang w:eastAsia="ru-RU"/>
              </w:rPr>
              <w:t>1000</w:t>
            </w:r>
          </w:p>
        </w:tc>
        <w:tc>
          <w:tcPr>
            <w:tcW w:w="306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23" w:right="175" w:firstLine="23"/>
              <w:jc w:val="center"/>
              <w:rPr>
                <w:rFonts w:ascii="Times New Roman" w:hAnsi="Times New Roman" w:cs="Times New Roman"/>
                <w:sz w:val="20"/>
                <w:szCs w:val="20"/>
              </w:rPr>
            </w:pPr>
            <w:r>
              <w:rPr>
                <w:rFonts w:cs="Times New Roman" w:ascii="Times New Roman" w:hAnsi="Times New Roman"/>
                <w:sz w:val="20"/>
                <w:szCs w:val="20"/>
                <w:lang w:eastAsia="ru-RU"/>
              </w:rPr>
              <w:t>0</w:t>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60" w:right="34" w:hanging="60"/>
              <w:jc w:val="both"/>
              <w:rPr>
                <w:rFonts w:ascii="Times New Roman" w:hAnsi="Times New Roman" w:cs="Times New Roman"/>
                <w:sz w:val="20"/>
                <w:szCs w:val="20"/>
              </w:rPr>
            </w:pPr>
            <w:r>
              <w:rPr>
                <w:rFonts w:cs="Times New Roman" w:ascii="Times New Roman" w:hAnsi="Times New Roman"/>
                <w:sz w:val="20"/>
                <w:szCs w:val="20"/>
                <w:lang w:eastAsia="ru-RU"/>
              </w:rPr>
              <w:t>1300</w:t>
            </w:r>
          </w:p>
        </w:tc>
        <w:tc>
          <w:tcPr>
            <w:tcW w:w="9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60" w:right="175" w:hanging="60"/>
              <w:jc w:val="both"/>
              <w:rPr>
                <w:rFonts w:ascii="Times New Roman" w:hAnsi="Times New Roman" w:cs="Times New Roman"/>
                <w:sz w:val="20"/>
                <w:szCs w:val="20"/>
              </w:rPr>
            </w:pPr>
            <w:r>
              <w:rPr>
                <w:rFonts w:cs="Times New Roman" w:ascii="Times New Roman" w:hAnsi="Times New Roman"/>
                <w:sz w:val="20"/>
                <w:szCs w:val="20"/>
                <w:lang w:eastAsia="ru-RU"/>
              </w:rPr>
              <w:t>1300</w:t>
            </w:r>
          </w:p>
        </w:tc>
        <w:tc>
          <w:tcPr>
            <w:tcW w:w="170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both"/>
              <w:rPr>
                <w:rFonts w:ascii="Times New Roman" w:hAnsi="Times New Roman" w:cs="Times New Roman"/>
                <w:sz w:val="20"/>
                <w:szCs w:val="20"/>
              </w:rPr>
            </w:pPr>
            <w:r>
              <w:rPr>
                <w:rFonts w:cs="Times New Roman" w:ascii="Times New Roman" w:hAnsi="Times New Roman"/>
                <w:sz w:val="20"/>
                <w:szCs w:val="20"/>
                <w:lang w:eastAsia="ru-RU"/>
              </w:rPr>
              <w:t>отдел инвестиционной политики и развития Наукограда</w:t>
            </w:r>
          </w:p>
        </w:tc>
      </w:tr>
      <w:tr>
        <w:trPr>
          <w:trHeight w:val="1261" w:hRule="atLeast"/>
          <w:cantSplit w:val="true"/>
        </w:trPr>
        <w:tc>
          <w:tcPr>
            <w:tcW w:w="566"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40"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0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2" w:type="dxa"/>
            <w:vMerge w:val="continue"/>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33" w:hanging="0"/>
              <w:jc w:val="both"/>
              <w:rPr>
                <w:rFonts w:ascii="Times New Roman" w:hAnsi="Times New Roman" w:cs="Times New Roman"/>
                <w:sz w:val="20"/>
                <w:szCs w:val="20"/>
              </w:rPr>
            </w:pPr>
            <w:r>
              <w:rPr>
                <w:rFonts w:cs="Times New Roman" w:ascii="Times New Roman" w:hAnsi="Times New Roman"/>
                <w:sz w:val="20"/>
                <w:szCs w:val="20"/>
                <w:lang w:eastAsia="ru-RU"/>
              </w:rPr>
              <w:t>средства бюджета городского округа Фрязино</w:t>
            </w:r>
          </w:p>
        </w:tc>
        <w:tc>
          <w:tcPr>
            <w:tcW w:w="99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4600</w:t>
            </w:r>
          </w:p>
        </w:tc>
        <w:tc>
          <w:tcPr>
            <w:tcW w:w="8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1000</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center"/>
              <w:rPr>
                <w:rFonts w:ascii="Times New Roman" w:hAnsi="Times New Roman" w:cs="Times New Roman"/>
                <w:sz w:val="20"/>
                <w:szCs w:val="20"/>
              </w:rPr>
            </w:pPr>
            <w:r>
              <w:rPr>
                <w:rFonts w:cs="Times New Roman" w:ascii="Times New Roman" w:hAnsi="Times New Roman"/>
                <w:sz w:val="20"/>
                <w:szCs w:val="20"/>
                <w:lang w:eastAsia="ru-RU"/>
              </w:rPr>
              <w:t>1000</w:t>
            </w:r>
          </w:p>
        </w:tc>
        <w:tc>
          <w:tcPr>
            <w:tcW w:w="306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34"/>
              <w:jc w:val="center"/>
              <w:rPr>
                <w:rFonts w:ascii="Times New Roman" w:hAnsi="Times New Roman" w:cs="Times New Roman"/>
                <w:sz w:val="20"/>
                <w:szCs w:val="20"/>
              </w:rPr>
            </w:pPr>
            <w:r>
              <w:rPr>
                <w:rFonts w:cs="Times New Roman" w:ascii="Times New Roman" w:hAnsi="Times New Roman"/>
                <w:sz w:val="20"/>
                <w:szCs w:val="20"/>
                <w:lang w:eastAsia="ru-RU"/>
              </w:rPr>
              <w:t>0</w:t>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1300</w:t>
            </w:r>
          </w:p>
        </w:tc>
        <w:tc>
          <w:tcPr>
            <w:tcW w:w="90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1300</w:t>
            </w:r>
          </w:p>
        </w:tc>
        <w:tc>
          <w:tcPr>
            <w:tcW w:w="170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300" w:hRule="atLeast"/>
          <w:cantSplit w:val="true"/>
        </w:trPr>
        <w:tc>
          <w:tcPr>
            <w:tcW w:w="566"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40"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0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субъектов МСП получивших муниципальную поддержку на возмещение части затрат, связанных с приобретением оборудования в целях создания и (или) развития либо модернизации производства товаров (работ, услуг), единиц</w:t>
            </w:r>
          </w:p>
        </w:tc>
        <w:tc>
          <w:tcPr>
            <w:tcW w:w="96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33" w:hanging="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3"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882"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963"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97"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267" w:type="dxa"/>
            <w:gridSpan w:val="4"/>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4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0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70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300" w:hRule="atLeast"/>
          <w:cantSplit w:val="true"/>
        </w:trPr>
        <w:tc>
          <w:tcPr>
            <w:tcW w:w="566"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40"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05" w:type="dxa"/>
            <w:gridSpan w:val="2"/>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2"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33" w:type="dxa"/>
            <w:vMerge w:val="continue"/>
            <w:tcBorders>
              <w:left w:val="single" w:sz="4" w:space="0" w:color="000000"/>
              <w:right w:val="single" w:sz="4" w:space="0" w:color="000000"/>
            </w:tcBorders>
            <w:shd w:color="auto" w:fill="auto" w:val="clear"/>
          </w:tcPr>
          <w:p>
            <w:pPr>
              <w:pStyle w:val="Normal"/>
              <w:widowControl w:val="false"/>
              <w:suppressAutoHyphens w:val="true"/>
              <w:spacing w:before="0" w:after="0"/>
              <w:ind w:left="33" w:hanging="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3" w:type="dxa"/>
            <w:vMerge w:val="continue"/>
            <w:tcBorders>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82" w:type="dxa"/>
            <w:tcBorders>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3" w:type="dxa"/>
            <w:tcBorders>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97" w:type="dxa"/>
            <w:vMerge w:val="continue"/>
            <w:tcBorders>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568"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56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4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6" w:type="dxa"/>
            <w:vMerge w:val="continue"/>
            <w:tcBorders>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703"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560" w:hRule="atLeast"/>
          <w:cantSplit w:val="true"/>
        </w:trPr>
        <w:tc>
          <w:tcPr>
            <w:tcW w:w="566"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40"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05"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3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33" w:hanging="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11</w:t>
            </w:r>
          </w:p>
        </w:tc>
        <w:tc>
          <w:tcPr>
            <w:tcW w:w="882" w:type="dxa"/>
            <w:tcBorders>
              <w:top w:val="single" w:sz="4" w:space="0" w:color="000000"/>
              <w:left w:val="single" w:sz="4" w:space="0" w:color="000000"/>
              <w:bottom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5</w:t>
            </w:r>
          </w:p>
        </w:tc>
        <w:tc>
          <w:tcPr>
            <w:tcW w:w="963" w:type="dxa"/>
            <w:tcBorders>
              <w:top w:val="single" w:sz="4" w:space="0" w:color="000000"/>
              <w:left w:val="single" w:sz="4" w:space="0" w:color="000000"/>
              <w:bottom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7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right="-108" w:hanging="0"/>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70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572" w:hRule="atLeast"/>
          <w:cantSplit w:val="true"/>
        </w:trPr>
        <w:tc>
          <w:tcPr>
            <w:tcW w:w="56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1.2.</w:t>
            </w:r>
          </w:p>
        </w:tc>
        <w:tc>
          <w:tcPr>
            <w:tcW w:w="300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both"/>
              <w:rPr>
                <w:rFonts w:ascii="Times New Roman" w:hAnsi="Times New Roman" w:cs="Times New Roman"/>
                <w:sz w:val="20"/>
                <w:szCs w:val="20"/>
              </w:rPr>
            </w:pPr>
            <w:r>
              <w:rPr>
                <w:rFonts w:cs="Times New Roman" w:ascii="Times New Roman" w:hAnsi="Times New Roman"/>
                <w:sz w:val="20"/>
                <w:szCs w:val="20"/>
                <w:lang w:eastAsia="ru-RU"/>
              </w:rPr>
              <w:t>Мероприятие 02.03.</w:t>
            </w:r>
          </w:p>
          <w:p>
            <w:pPr>
              <w:pStyle w:val="Normal"/>
              <w:widowControl w:val="false"/>
              <w:suppressAutoHyphens w:val="true"/>
              <w:spacing w:before="0" w:after="0"/>
              <w:jc w:val="both"/>
              <w:rPr>
                <w:rFonts w:ascii="Times New Roman" w:hAnsi="Times New Roman" w:cs="Times New Roman"/>
                <w:sz w:val="20"/>
                <w:szCs w:val="20"/>
              </w:rPr>
            </w:pPr>
            <w:r>
              <w:rPr>
                <w:rFonts w:cs="Times New Roman" w:ascii="Times New Roman" w:hAnsi="Times New Roman"/>
                <w:sz w:val="20"/>
                <w:szCs w:val="20"/>
                <w:lang w:eastAsia="ru-RU"/>
              </w:rPr>
              <w:t>Частичная компенсация затрат субъектам малого и среднего предпринимательства, осуществляющим деятельность в сфере социального предпринимательства</w:t>
            </w:r>
          </w:p>
        </w:tc>
        <w:tc>
          <w:tcPr>
            <w:tcW w:w="962"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43" w:hanging="0"/>
              <w:jc w:val="both"/>
              <w:rPr>
                <w:rFonts w:ascii="Times New Roman" w:hAnsi="Times New Roman" w:cs="Times New Roman"/>
                <w:sz w:val="20"/>
                <w:szCs w:val="20"/>
              </w:rPr>
            </w:pPr>
            <w:r>
              <w:rPr>
                <w:rFonts w:cs="Times New Roman" w:ascii="Times New Roman" w:hAnsi="Times New Roman"/>
                <w:sz w:val="20"/>
                <w:szCs w:val="20"/>
                <w:lang w:eastAsia="ru-RU"/>
              </w:rPr>
              <w:t>2023-2027</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49"/>
              <w:jc w:val="both"/>
              <w:rPr>
                <w:rFonts w:ascii="Times New Roman" w:hAnsi="Times New Roman" w:cs="Times New Roman"/>
                <w:sz w:val="20"/>
                <w:szCs w:val="20"/>
              </w:rPr>
            </w:pPr>
            <w:r>
              <w:rPr>
                <w:rFonts w:cs="Times New Roman" w:ascii="Times New Roman" w:hAnsi="Times New Roman"/>
                <w:sz w:val="20"/>
                <w:szCs w:val="20"/>
                <w:lang w:eastAsia="ru-RU"/>
              </w:rPr>
              <w:t>итого</w:t>
            </w:r>
          </w:p>
        </w:tc>
        <w:tc>
          <w:tcPr>
            <w:tcW w:w="99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42"/>
              <w:jc w:val="both"/>
              <w:rPr>
                <w:rFonts w:ascii="Times New Roman" w:hAnsi="Times New Roman" w:cs="Times New Roman"/>
                <w:sz w:val="20"/>
                <w:szCs w:val="20"/>
              </w:rPr>
            </w:pPr>
            <w:r>
              <w:rPr>
                <w:rFonts w:cs="Times New Roman" w:ascii="Times New Roman" w:hAnsi="Times New Roman"/>
                <w:sz w:val="20"/>
                <w:szCs w:val="20"/>
                <w:lang w:eastAsia="ru-RU"/>
              </w:rPr>
              <w:t>2400</w:t>
            </w:r>
          </w:p>
        </w:tc>
        <w:tc>
          <w:tcPr>
            <w:tcW w:w="8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42"/>
              <w:jc w:val="both"/>
              <w:rPr>
                <w:rFonts w:ascii="Times New Roman" w:hAnsi="Times New Roman" w:cs="Times New Roman"/>
                <w:sz w:val="20"/>
                <w:szCs w:val="20"/>
              </w:rPr>
            </w:pPr>
            <w:r>
              <w:rPr>
                <w:rFonts w:cs="Times New Roman" w:ascii="Times New Roman" w:hAnsi="Times New Roman"/>
                <w:sz w:val="20"/>
                <w:szCs w:val="20"/>
                <w:lang w:eastAsia="ru-RU"/>
              </w:rPr>
              <w:t>500</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42"/>
              <w:jc w:val="center"/>
              <w:rPr>
                <w:rFonts w:ascii="Times New Roman" w:hAnsi="Times New Roman" w:cs="Times New Roman"/>
                <w:sz w:val="20"/>
                <w:szCs w:val="20"/>
              </w:rPr>
            </w:pPr>
            <w:r>
              <w:rPr>
                <w:rFonts w:cs="Times New Roman" w:ascii="Times New Roman" w:hAnsi="Times New Roman"/>
                <w:sz w:val="20"/>
                <w:szCs w:val="20"/>
                <w:lang w:eastAsia="ru-RU"/>
              </w:rPr>
              <w:t>500</w:t>
            </w:r>
          </w:p>
        </w:tc>
        <w:tc>
          <w:tcPr>
            <w:tcW w:w="3064" w:type="dxa"/>
            <w:gridSpan w:val="5"/>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42"/>
              <w:jc w:val="both"/>
              <w:rPr>
                <w:rFonts w:ascii="Times New Roman" w:hAnsi="Times New Roman" w:cs="Times New Roman"/>
                <w:sz w:val="20"/>
                <w:szCs w:val="20"/>
              </w:rPr>
            </w:pPr>
            <w:r>
              <w:rPr>
                <w:rFonts w:cs="Times New Roman" w:ascii="Times New Roman" w:hAnsi="Times New Roman"/>
                <w:sz w:val="20"/>
                <w:szCs w:val="20"/>
                <w:lang w:eastAsia="ru-RU"/>
              </w:rPr>
              <w:t>0</w:t>
            </w:r>
          </w:p>
        </w:tc>
        <w:tc>
          <w:tcPr>
            <w:tcW w:w="84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42"/>
              <w:jc w:val="both"/>
              <w:rPr>
                <w:rFonts w:ascii="Times New Roman" w:hAnsi="Times New Roman" w:cs="Times New Roman"/>
                <w:sz w:val="20"/>
                <w:szCs w:val="20"/>
              </w:rPr>
            </w:pPr>
            <w:r>
              <w:rPr>
                <w:rFonts w:cs="Times New Roman" w:ascii="Times New Roman" w:hAnsi="Times New Roman"/>
                <w:sz w:val="20"/>
                <w:szCs w:val="20"/>
                <w:lang w:eastAsia="ru-RU"/>
              </w:rPr>
              <w:t>700</w:t>
            </w:r>
          </w:p>
        </w:tc>
        <w:tc>
          <w:tcPr>
            <w:tcW w:w="90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42"/>
              <w:jc w:val="both"/>
              <w:rPr>
                <w:rFonts w:ascii="Times New Roman" w:hAnsi="Times New Roman" w:cs="Times New Roman"/>
                <w:sz w:val="20"/>
                <w:szCs w:val="20"/>
              </w:rPr>
            </w:pPr>
            <w:r>
              <w:rPr>
                <w:rFonts w:cs="Times New Roman" w:ascii="Times New Roman" w:hAnsi="Times New Roman"/>
                <w:sz w:val="20"/>
                <w:szCs w:val="20"/>
                <w:lang w:eastAsia="ru-RU"/>
              </w:rPr>
              <w:t>700</w:t>
            </w:r>
          </w:p>
        </w:tc>
        <w:tc>
          <w:tcPr>
            <w:tcW w:w="170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both"/>
              <w:rPr>
                <w:rFonts w:ascii="Times New Roman" w:hAnsi="Times New Roman" w:cs="Times New Roman"/>
                <w:sz w:val="20"/>
                <w:szCs w:val="20"/>
              </w:rPr>
            </w:pPr>
            <w:r>
              <w:rPr>
                <w:rFonts w:cs="Times New Roman" w:ascii="Times New Roman" w:hAnsi="Times New Roman"/>
                <w:sz w:val="20"/>
                <w:szCs w:val="20"/>
                <w:lang w:eastAsia="ru-RU"/>
              </w:rPr>
              <w:t>отдел инвестиционной политики и развития Наукограда</w:t>
            </w:r>
          </w:p>
        </w:tc>
      </w:tr>
      <w:tr>
        <w:trPr>
          <w:trHeight w:val="1713" w:hRule="atLeast"/>
          <w:cantSplit w:val="true"/>
        </w:trPr>
        <w:tc>
          <w:tcPr>
            <w:tcW w:w="566"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0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2"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firstLine="33"/>
              <w:jc w:val="both"/>
              <w:rPr>
                <w:rFonts w:ascii="Times New Roman" w:hAnsi="Times New Roman" w:cs="Times New Roman"/>
                <w:sz w:val="20"/>
                <w:szCs w:val="20"/>
              </w:rPr>
            </w:pPr>
            <w:r>
              <w:rPr>
                <w:rFonts w:cs="Times New Roman" w:ascii="Times New Roman" w:hAnsi="Times New Roman"/>
                <w:sz w:val="20"/>
                <w:szCs w:val="20"/>
                <w:lang w:eastAsia="ru-RU"/>
              </w:rPr>
              <w:t>средства бюджета городского округа Фрязино</w:t>
            </w:r>
          </w:p>
        </w:tc>
        <w:tc>
          <w:tcPr>
            <w:tcW w:w="99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2400</w:t>
            </w:r>
          </w:p>
        </w:tc>
        <w:tc>
          <w:tcPr>
            <w:tcW w:w="88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500</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center"/>
              <w:rPr>
                <w:rFonts w:ascii="Times New Roman" w:hAnsi="Times New Roman" w:cs="Times New Roman"/>
                <w:sz w:val="20"/>
                <w:szCs w:val="20"/>
              </w:rPr>
            </w:pPr>
            <w:r>
              <w:rPr>
                <w:rFonts w:cs="Times New Roman" w:ascii="Times New Roman" w:hAnsi="Times New Roman"/>
                <w:sz w:val="20"/>
                <w:szCs w:val="20"/>
                <w:lang w:eastAsia="ru-RU"/>
              </w:rPr>
              <w:t>500</w:t>
            </w:r>
          </w:p>
        </w:tc>
        <w:tc>
          <w:tcPr>
            <w:tcW w:w="3064" w:type="dxa"/>
            <w:gridSpan w:val="5"/>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0</w:t>
            </w:r>
          </w:p>
        </w:tc>
        <w:tc>
          <w:tcPr>
            <w:tcW w:w="84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700</w:t>
            </w:r>
          </w:p>
        </w:tc>
        <w:tc>
          <w:tcPr>
            <w:tcW w:w="90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rPr>
            </w:pPr>
            <w:r>
              <w:rPr>
                <w:rFonts w:cs="Times New Roman" w:ascii="Times New Roman" w:hAnsi="Times New Roman"/>
                <w:sz w:val="20"/>
                <w:szCs w:val="20"/>
                <w:lang w:eastAsia="ru-RU"/>
              </w:rPr>
              <w:t>700</w:t>
            </w:r>
          </w:p>
        </w:tc>
        <w:tc>
          <w:tcPr>
            <w:tcW w:w="170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195" w:hRule="atLeast"/>
          <w:cantSplit w:val="true"/>
        </w:trPr>
        <w:tc>
          <w:tcPr>
            <w:tcW w:w="566"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0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Количество субъектов МСП, осуществляющие деятельность в сфере социального предпринимательства, получивших муниципальную поддержку, единиц</w:t>
            </w:r>
          </w:p>
        </w:tc>
        <w:tc>
          <w:tcPr>
            <w:tcW w:w="96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176"/>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33" w:hanging="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3"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882"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963"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97"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267" w:type="dxa"/>
            <w:gridSpan w:val="4"/>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4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0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70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195" w:hRule="atLeast"/>
          <w:cantSplit w:val="true"/>
        </w:trPr>
        <w:tc>
          <w:tcPr>
            <w:tcW w:w="566"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05" w:type="dxa"/>
            <w:gridSpan w:val="2"/>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ind w:left="-142" w:hanging="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2"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33" w:type="dxa"/>
            <w:vMerge w:val="continue"/>
            <w:tcBorders>
              <w:left w:val="single" w:sz="4" w:space="0" w:color="000000"/>
              <w:right w:val="single" w:sz="4" w:space="0" w:color="000000"/>
            </w:tcBorders>
            <w:shd w:color="auto" w:fill="auto" w:val="clear"/>
          </w:tcPr>
          <w:p>
            <w:pPr>
              <w:pStyle w:val="Normal"/>
              <w:widowControl w:val="false"/>
              <w:suppressAutoHyphens w:val="true"/>
              <w:spacing w:before="0" w:after="0"/>
              <w:ind w:firstLine="33"/>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3" w:type="dxa"/>
            <w:vMerge w:val="continue"/>
            <w:tcBorders>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82" w:type="dxa"/>
            <w:tcBorders>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3" w:type="dxa"/>
            <w:tcBorders>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97" w:type="dxa"/>
            <w:vMerge w:val="continue"/>
            <w:tcBorders>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568"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56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566"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4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6" w:type="dxa"/>
            <w:vMerge w:val="continue"/>
            <w:tcBorders>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703" w:type="dxa"/>
            <w:vMerge w:val="continue"/>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383" w:hRule="atLeast"/>
          <w:cantSplit w:val="true"/>
        </w:trPr>
        <w:tc>
          <w:tcPr>
            <w:tcW w:w="56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05"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hanging="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2"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3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ind w:firstLine="33"/>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9</w:t>
            </w:r>
          </w:p>
        </w:tc>
        <w:tc>
          <w:tcPr>
            <w:tcW w:w="882"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416"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3</w:t>
            </w:r>
          </w:p>
        </w:tc>
        <w:tc>
          <w:tcPr>
            <w:tcW w:w="963"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416"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7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416"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416"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416"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416"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56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590" w:right="-51" w:firstLine="349"/>
              <w:jc w:val="center"/>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590" w:right="-51" w:firstLine="349"/>
              <w:jc w:val="center"/>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590" w:right="-51" w:firstLine="349"/>
              <w:jc w:val="center"/>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170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left="-142" w:firstLine="568"/>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383" w:hRule="atLeast"/>
          <w:cantSplit w:val="true"/>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ind w:left="-142"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1.3.</w:t>
            </w:r>
          </w:p>
        </w:tc>
        <w:tc>
          <w:tcPr>
            <w:tcW w:w="300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40" w:before="0" w:after="0"/>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Мероприятие 02.04.</w:t>
            </w:r>
          </w:p>
          <w:p>
            <w:pPr>
              <w:pStyle w:val="Normal"/>
              <w:widowControl w:val="false"/>
              <w:suppressAutoHyphens w:val="true"/>
              <w:snapToGrid w:val="false"/>
              <w:spacing w:before="0" w:after="0"/>
              <w:ind w:firstLine="34"/>
              <w:jc w:val="both"/>
              <w:rPr>
                <w:rFonts w:ascii="Times New Roman" w:hAnsi="Times New Roman" w:cs="Times New Roman"/>
                <w:sz w:val="20"/>
                <w:szCs w:val="20"/>
                <w:lang w:eastAsia="ru-RU"/>
              </w:rPr>
            </w:pPr>
            <w:r>
              <w:rPr>
                <w:rFonts w:eastAsia="Times New Roman" w:cs="Times New Roman" w:ascii="Times New Roman" w:hAnsi="Times New Roman"/>
                <w:sz w:val="20"/>
                <w:szCs w:val="20"/>
                <w:lang w:eastAsia="ru-RU"/>
              </w:rPr>
              <w:t>Предоставление в аренду имущества, находящегося в муниципальной собственности, отнесенного к имуществу казны, субъектам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осуществляющими деятельность на территории Московской области, без проведения торгов</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2023-2027</w:t>
            </w:r>
          </w:p>
        </w:tc>
        <w:tc>
          <w:tcPr>
            <w:tcW w:w="113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rPr>
            </w:pPr>
            <w:r>
              <w:rPr>
                <w:rFonts w:cs="Times New Roman" w:ascii="Times New Roman" w:hAnsi="Times New Roman"/>
                <w:sz w:val="20"/>
                <w:szCs w:val="20"/>
                <w:lang w:eastAsia="ru-RU"/>
              </w:rPr>
              <w:t>финансирование не требуется</w:t>
            </w:r>
          </w:p>
        </w:tc>
        <w:tc>
          <w:tcPr>
            <w:tcW w:w="99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82"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widowControl w:val="fals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widowControl w:val="fals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widowControl w:val="fals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widowControl w:val="fals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3"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64"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7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Отдел учета и распоряжения муниципальным имуществом</w:t>
            </w:r>
          </w:p>
        </w:tc>
      </w:tr>
      <w:tr>
        <w:trPr>
          <w:trHeight w:val="383" w:hRule="atLeast"/>
          <w:cantSplit w:val="true"/>
        </w:trPr>
        <w:tc>
          <w:tcPr>
            <w:tcW w:w="59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1.4.</w:t>
            </w:r>
          </w:p>
        </w:tc>
        <w:tc>
          <w:tcPr>
            <w:tcW w:w="29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Мероприятие 02.05.</w:t>
            </w:r>
          </w:p>
          <w:p>
            <w:pPr>
              <w:pStyle w:val="Normal"/>
              <w:widowControl w:val="false"/>
              <w:suppressAutoHyphens w:val="true"/>
              <w:snapToGrid w:val="false"/>
              <w:spacing w:before="0" w:after="0"/>
              <w:ind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Предоставление субъектам малого и среднего предпринимательства на территории парков культуры и отдыха городских округов Московской области мест для размещения нестационарных торговых объектов без проведения торгов на льготных условиях при организации: мобильной торговли (в мобильных пунктах быстрого питания (фудтраках) и передвижных сооружениях (тележках), торговли в киосках малых площадью до 9 кв. м включительно и торговых автоматах (вендинговых автоматах</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2023-2027</w:t>
            </w:r>
          </w:p>
        </w:tc>
        <w:tc>
          <w:tcPr>
            <w:tcW w:w="113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rPr>
            </w:pPr>
            <w:r>
              <w:rPr>
                <w:rFonts w:cs="Times New Roman" w:ascii="Times New Roman" w:hAnsi="Times New Roman"/>
                <w:sz w:val="20"/>
                <w:szCs w:val="20"/>
                <w:lang w:eastAsia="ru-RU"/>
              </w:rPr>
              <w:t>финансирование не требуется</w:t>
            </w:r>
          </w:p>
        </w:tc>
        <w:tc>
          <w:tcPr>
            <w:tcW w:w="99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82"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63"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142"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3064"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7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before="0" w:after="0"/>
              <w:jc w:val="both"/>
              <w:rPr>
                <w:rFonts w:ascii="Times New Roman" w:hAnsi="Times New Roman" w:cs="Times New Roman"/>
                <w:sz w:val="20"/>
                <w:szCs w:val="20"/>
              </w:rPr>
            </w:pPr>
            <w:r>
              <w:rPr>
                <w:rFonts w:cs="Times New Roman" w:ascii="Times New Roman" w:hAnsi="Times New Roman"/>
                <w:sz w:val="20"/>
                <w:szCs w:val="20"/>
                <w:lang w:eastAsia="ru-RU"/>
              </w:rPr>
              <w:t>отдел инвестиционной политики и развития Наукограда</w:t>
            </w:r>
          </w:p>
        </w:tc>
      </w:tr>
      <w:tr>
        <w:trPr>
          <w:trHeight w:val="383" w:hRule="atLeast"/>
          <w:cantSplit w:val="true"/>
        </w:trPr>
        <w:tc>
          <w:tcPr>
            <w:tcW w:w="4533" w:type="dxa"/>
            <w:gridSpan w:val="4"/>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по подпрограмме</w:t>
            </w:r>
          </w:p>
        </w:tc>
        <w:tc>
          <w:tcPr>
            <w:tcW w:w="113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Итого</w:t>
            </w:r>
          </w:p>
        </w:tc>
        <w:tc>
          <w:tcPr>
            <w:tcW w:w="99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7000</w:t>
            </w:r>
          </w:p>
        </w:tc>
        <w:tc>
          <w:tcPr>
            <w:tcW w:w="882"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1500</w:t>
            </w:r>
          </w:p>
        </w:tc>
        <w:tc>
          <w:tcPr>
            <w:tcW w:w="963"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142"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1500</w:t>
            </w:r>
          </w:p>
        </w:tc>
        <w:tc>
          <w:tcPr>
            <w:tcW w:w="3064"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2000</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2000</w:t>
            </w:r>
          </w:p>
        </w:tc>
        <w:tc>
          <w:tcPr>
            <w:tcW w:w="1703" w:type="dxa"/>
            <w:tcBorders>
              <w:left w:val="single" w:sz="4" w:space="0" w:color="000000"/>
              <w:right w:val="single" w:sz="4" w:space="0" w:color="000000"/>
            </w:tcBorders>
            <w:shd w:color="auto" w:fill="auto" w:val="clear"/>
          </w:tcPr>
          <w:p>
            <w:pPr>
              <w:pStyle w:val="Normal"/>
              <w:widowControl w:val="false"/>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383" w:hRule="atLeast"/>
          <w:cantSplit w:val="true"/>
        </w:trPr>
        <w:tc>
          <w:tcPr>
            <w:tcW w:w="4533" w:type="dxa"/>
            <w:gridSpan w:val="4"/>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ind w:firstLine="34"/>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133" w:type="dxa"/>
            <w:tcBorders>
              <w:left w:val="single" w:sz="4" w:space="0" w:color="000000"/>
              <w:bottom w:val="single" w:sz="4" w:space="0" w:color="000000"/>
            </w:tcBorders>
            <w:shd w:color="auto" w:fill="auto" w:val="clear"/>
          </w:tcPr>
          <w:p>
            <w:pPr>
              <w:pStyle w:val="Normal"/>
              <w:widowControl w:val="false"/>
              <w:suppressAutoHyphens w:val="true"/>
              <w:spacing w:before="0" w:after="0"/>
              <w:rPr>
                <w:rFonts w:ascii="Times New Roman" w:hAnsi="Times New Roman" w:cs="Times New Roman"/>
                <w:sz w:val="20"/>
                <w:szCs w:val="20"/>
                <w:lang w:eastAsia="ru-RU"/>
              </w:rPr>
            </w:pPr>
            <w:r>
              <w:rPr>
                <w:rFonts w:cs="Times New Roman" w:ascii="Times New Roman" w:hAnsi="Times New Roman"/>
                <w:sz w:val="20"/>
                <w:szCs w:val="20"/>
                <w:lang w:eastAsia="ru-RU"/>
              </w:rPr>
              <w:t>Средства бюджета городского округа</w:t>
            </w:r>
          </w:p>
        </w:tc>
        <w:tc>
          <w:tcPr>
            <w:tcW w:w="993"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7000</w:t>
            </w:r>
          </w:p>
        </w:tc>
        <w:tc>
          <w:tcPr>
            <w:tcW w:w="882"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1500</w:t>
            </w:r>
          </w:p>
        </w:tc>
        <w:tc>
          <w:tcPr>
            <w:tcW w:w="963" w:type="dxa"/>
            <w:tcBorders>
              <w:top w:val="single" w:sz="4" w:space="0" w:color="000000"/>
              <w:left w:val="single" w:sz="4" w:space="0" w:color="000000"/>
              <w:bottom w:val="single" w:sz="4" w:space="0" w:color="000000"/>
            </w:tcBorders>
          </w:tcPr>
          <w:p>
            <w:pPr>
              <w:pStyle w:val="Normal"/>
              <w:widowControl w:val="false"/>
              <w:suppressAutoHyphens w:val="true"/>
              <w:spacing w:before="0" w:after="0"/>
              <w:ind w:left="-142" w:firstLine="175"/>
              <w:jc w:val="center"/>
              <w:rPr>
                <w:rFonts w:ascii="Times New Roman" w:hAnsi="Times New Roman" w:cs="Times New Roman"/>
                <w:sz w:val="20"/>
                <w:szCs w:val="20"/>
                <w:lang w:eastAsia="ru-RU"/>
              </w:rPr>
            </w:pPr>
            <w:r>
              <w:rPr>
                <w:rFonts w:cs="Times New Roman" w:ascii="Times New Roman" w:hAnsi="Times New Roman"/>
                <w:sz w:val="20"/>
                <w:szCs w:val="20"/>
                <w:lang w:eastAsia="ru-RU"/>
              </w:rPr>
              <w:t>1500</w:t>
            </w:r>
          </w:p>
        </w:tc>
        <w:tc>
          <w:tcPr>
            <w:tcW w:w="3064"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2000</w:t>
            </w:r>
          </w:p>
        </w:tc>
        <w:tc>
          <w:tcPr>
            <w:tcW w:w="9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2000</w:t>
            </w:r>
          </w:p>
        </w:tc>
        <w:tc>
          <w:tcPr>
            <w:tcW w:w="1703"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bl>
    <w:p>
      <w:pPr>
        <w:pStyle w:val="Normal"/>
        <w:spacing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w:t>
      </w:r>
    </w:p>
    <w:p>
      <w:pPr>
        <w:pStyle w:val="Normal"/>
        <w:spacing w:before="0" w:after="0"/>
        <w:rPr>
          <w:rFonts w:ascii="Times New Roman" w:hAnsi="Times New Roman" w:cs="Times New Roman"/>
        </w:rPr>
      </w:pPr>
      <w:r>
        <w:rPr>
          <w:rFonts w:cs="Times New Roman" w:ascii="Times New Roman" w:hAnsi="Times New Roman"/>
        </w:rPr>
      </w:r>
    </w:p>
    <w:p>
      <w:pPr>
        <w:pStyle w:val="Normal"/>
        <w:spacing w:before="0" w:after="0"/>
        <w:rPr>
          <w:rFonts w:ascii="Times New Roman" w:hAnsi="Times New Roman" w:cs="Times New Roman"/>
        </w:rPr>
      </w:pPr>
      <w:r>
        <w:rPr>
          <w:rFonts w:cs="Times New Roman" w:ascii="Times New Roman" w:hAnsi="Times New Roman"/>
        </w:rPr>
      </w:r>
    </w:p>
    <w:p>
      <w:pPr>
        <w:pStyle w:val="Normal"/>
        <w:spacing w:before="0" w:after="0"/>
        <w:rPr>
          <w:rFonts w:ascii="Times New Roman" w:hAnsi="Times New Roman" w:cs="Times New Roman"/>
        </w:rPr>
      </w:pPr>
      <w:r>
        <w:rPr>
          <w:rFonts w:cs="Times New Roman" w:ascii="Times New Roman" w:hAnsi="Times New Roman"/>
        </w:rPr>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r>
    </w:p>
    <w:p>
      <w:pPr>
        <w:pStyle w:val="Normal"/>
        <w:spacing w:before="0" w:after="0"/>
        <w:ind w:left="6096" w:firstLine="4961"/>
        <w:rPr>
          <w:rFonts w:ascii="Times New Roman" w:hAnsi="Times New Roman" w:eastAsia="Calibri" w:cs="Times New Roman"/>
          <w:sz w:val="24"/>
          <w:szCs w:val="24"/>
          <w:lang w:eastAsia="zh-CN"/>
        </w:rPr>
      </w:pPr>
      <w:bookmarkStart w:id="0" w:name="_GoBack"/>
      <w:bookmarkEnd w:id="0"/>
      <w:r>
        <w:rPr>
          <w:rFonts w:eastAsia="Calibri" w:cs="Times New Roman" w:ascii="Times New Roman" w:hAnsi="Times New Roman"/>
          <w:sz w:val="24"/>
          <w:szCs w:val="24"/>
          <w:lang w:eastAsia="zh-CN"/>
        </w:rPr>
        <w:t>Приложение 6</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к постановлению Администрации</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городского округа Фрязино</w:t>
      </w:r>
    </w:p>
    <w:p>
      <w:pPr>
        <w:pStyle w:val="Normal"/>
        <w:spacing w:before="0" w:after="0"/>
        <w:ind w:left="6096" w:firstLine="4961"/>
        <w:rPr>
          <w:rFonts w:ascii="Times New Roman" w:hAnsi="Times New Roman" w:eastAsia="Calibri" w:cs="Times New Roman"/>
          <w:sz w:val="24"/>
          <w:szCs w:val="24"/>
          <w:lang w:eastAsia="zh-CN"/>
        </w:rPr>
      </w:pPr>
      <w:r>
        <w:rPr>
          <w:rFonts w:eastAsia="Calibri" w:cs="Times New Roman" w:ascii="Times New Roman" w:hAnsi="Times New Roman"/>
          <w:sz w:val="24"/>
          <w:szCs w:val="24"/>
          <w:lang w:eastAsia="zh-CN"/>
        </w:rPr>
        <w:t xml:space="preserve">от </w:t>
      </w:r>
      <w:r>
        <w:rPr>
          <w:rFonts w:eastAsia="Calibri" w:cs="Times New Roman" w:ascii="Times New Roman" w:hAnsi="Times New Roman"/>
          <w:sz w:val="24"/>
          <w:szCs w:val="24"/>
          <w:lang w:eastAsia="zh-CN"/>
        </w:rPr>
        <w:t>10.09.2025</w:t>
      </w:r>
      <w:r>
        <w:rPr>
          <w:rFonts w:eastAsia="Calibri" w:cs="Times New Roman" w:ascii="Times New Roman" w:hAnsi="Times New Roman"/>
          <w:sz w:val="24"/>
          <w:szCs w:val="24"/>
          <w:lang w:eastAsia="zh-CN"/>
        </w:rPr>
        <w:t xml:space="preserve"> № </w:t>
      </w:r>
      <w:r>
        <w:rPr>
          <w:rFonts w:eastAsia="Calibri" w:cs="Times New Roman" w:ascii="Times New Roman" w:hAnsi="Times New Roman"/>
          <w:sz w:val="24"/>
          <w:szCs w:val="24"/>
          <w:lang w:eastAsia="zh-CN"/>
        </w:rPr>
        <w:t>831</w:t>
      </w:r>
    </w:p>
    <w:p>
      <w:pPr>
        <w:pStyle w:val="Normal"/>
        <w:spacing w:before="0" w:after="0"/>
        <w:rPr>
          <w:rFonts w:ascii="Times New Roman" w:hAnsi="Times New Roman" w:cs="Times New Roman"/>
        </w:rPr>
      </w:pPr>
      <w:r>
        <w:rPr>
          <w:rFonts w:cs="Times New Roman" w:ascii="Times New Roman" w:hAnsi="Times New Roman"/>
        </w:rPr>
      </w:r>
    </w:p>
    <w:p>
      <w:pPr>
        <w:pStyle w:val="Normal"/>
        <w:spacing w:before="0" w:after="0"/>
        <w:rPr>
          <w:rFonts w:ascii="Times New Roman" w:hAnsi="Times New Roman" w:cs="Times New Roman"/>
        </w:rPr>
      </w:pPr>
      <w:r>
        <w:rPr>
          <w:rFonts w:cs="Times New Roman" w:ascii="Times New Roman" w:hAnsi="Times New Roman"/>
        </w:rPr>
      </w:r>
    </w:p>
    <w:p>
      <w:pPr>
        <w:pStyle w:val="Normal"/>
        <w:suppressAutoHyphens w:val="true"/>
        <w:spacing w:lineRule="auto" w:line="252" w:before="0" w:after="0"/>
        <w:ind w:left="644" w:hanging="0"/>
        <w:jc w:val="center"/>
        <w:rPr>
          <w:rFonts w:ascii="Times New Roman" w:hAnsi="Times New Roman" w:eastAsia="Calibri" w:cs="Times New Roman"/>
        </w:rPr>
      </w:pPr>
      <w:r>
        <w:rPr>
          <w:rFonts w:eastAsia="Calibri" w:cs="Times New Roman" w:ascii="Times New Roman" w:hAnsi="Times New Roman"/>
          <w:b/>
          <w:lang w:eastAsia="ru-RU"/>
        </w:rPr>
        <w:t xml:space="preserve">«7. Подпрограмма </w:t>
      </w:r>
      <w:r>
        <w:rPr>
          <w:rFonts w:eastAsia="Calibri" w:cs="Times New Roman" w:ascii="Times New Roman" w:hAnsi="Times New Roman"/>
          <w:b/>
          <w:lang w:val="en-US" w:eastAsia="ru-RU"/>
        </w:rPr>
        <w:t>IV</w:t>
      </w:r>
      <w:r>
        <w:rPr>
          <w:rFonts w:eastAsia="Calibri" w:cs="Times New Roman" w:ascii="Times New Roman" w:hAnsi="Times New Roman"/>
          <w:b/>
          <w:lang w:eastAsia="ru-RU"/>
        </w:rPr>
        <w:t xml:space="preserve"> «Развитие потребительского рынка и услуг</w:t>
      </w:r>
      <w:r>
        <w:rPr>
          <w:rFonts w:eastAsia="Calibri" w:cs="Times New Roman" w:ascii="Times New Roman" w:hAnsi="Times New Roman"/>
          <w:lang w:eastAsia="ru-RU"/>
        </w:rPr>
        <w:t xml:space="preserve"> </w:t>
      </w:r>
      <w:r>
        <w:rPr>
          <w:rFonts w:eastAsia="Calibri" w:cs="Times New Roman" w:ascii="Times New Roman" w:hAnsi="Times New Roman"/>
          <w:b/>
          <w:lang w:eastAsia="ru-RU"/>
        </w:rPr>
        <w:t>на территории муниципального образования</w:t>
      </w:r>
    </w:p>
    <w:p>
      <w:pPr>
        <w:pStyle w:val="Normal"/>
        <w:spacing w:before="0" w:after="0"/>
        <w:ind w:left="644" w:hanging="0"/>
        <w:jc w:val="center"/>
        <w:rPr>
          <w:rFonts w:ascii="Times New Roman" w:hAnsi="Times New Roman" w:eastAsia="Calibri" w:cs="Times New Roman"/>
        </w:rPr>
      </w:pPr>
      <w:r>
        <w:rPr>
          <w:rFonts w:eastAsia="Calibri" w:cs="Times New Roman" w:ascii="Times New Roman" w:hAnsi="Times New Roman"/>
          <w:b/>
          <w:lang w:eastAsia="ru-RU"/>
        </w:rPr>
        <w:t>Московской области</w:t>
      </w:r>
    </w:p>
    <w:p>
      <w:pPr>
        <w:pStyle w:val="Normal"/>
        <w:suppressAutoHyphens w:val="true"/>
        <w:spacing w:lineRule="auto" w:line="252" w:before="0" w:after="0"/>
        <w:ind w:left="360" w:hanging="0"/>
        <w:jc w:val="center"/>
        <w:rPr>
          <w:rFonts w:ascii="Times New Roman" w:hAnsi="Times New Roman" w:eastAsia="Calibri" w:cs="Times New Roman"/>
          <w:b/>
          <w:lang w:eastAsia="ru-RU"/>
        </w:rPr>
      </w:pPr>
      <w:r>
        <w:rPr>
          <w:rFonts w:eastAsia="Calibri" w:cs="Times New Roman" w:ascii="Times New Roman" w:hAnsi="Times New Roman"/>
          <w:b/>
          <w:lang w:eastAsia="ru-RU"/>
        </w:rPr>
        <w:t xml:space="preserve">7.1. Перечень мероприятий подпрограммы </w:t>
      </w:r>
      <w:r>
        <w:rPr>
          <w:rFonts w:eastAsia="Calibri" w:cs="Times New Roman" w:ascii="Times New Roman" w:hAnsi="Times New Roman"/>
          <w:b/>
          <w:lang w:val="en-US" w:eastAsia="ru-RU"/>
        </w:rPr>
        <w:t>IV</w:t>
      </w:r>
      <w:r>
        <w:rPr>
          <w:rFonts w:eastAsia="Calibri" w:cs="Times New Roman" w:ascii="Times New Roman" w:hAnsi="Times New Roman"/>
          <w:b/>
          <w:lang w:eastAsia="ru-RU"/>
        </w:rPr>
        <w:t xml:space="preserve"> «Развитие потребительского рынка и услуг</w:t>
      </w:r>
      <w:r>
        <w:rPr>
          <w:rFonts w:eastAsia="Calibri" w:cs="Times New Roman" w:ascii="Times New Roman" w:hAnsi="Times New Roman"/>
          <w:lang w:eastAsia="ru-RU"/>
        </w:rPr>
        <w:t xml:space="preserve"> </w:t>
      </w:r>
      <w:r>
        <w:rPr>
          <w:rFonts w:eastAsia="Calibri" w:cs="Times New Roman" w:ascii="Times New Roman" w:hAnsi="Times New Roman"/>
          <w:b/>
          <w:lang w:eastAsia="ru-RU"/>
        </w:rPr>
        <w:t>на территории муниципального образования Московской области»</w:t>
      </w:r>
    </w:p>
    <w:tbl>
      <w:tblPr>
        <w:tblW w:w="14946" w:type="dxa"/>
        <w:jc w:val="left"/>
        <w:tblInd w:w="217" w:type="dxa"/>
        <w:tblLayout w:type="fixed"/>
        <w:tblCellMar>
          <w:top w:w="0" w:type="dxa"/>
          <w:left w:w="75" w:type="dxa"/>
          <w:bottom w:w="0" w:type="dxa"/>
          <w:right w:w="75" w:type="dxa"/>
        </w:tblCellMar>
        <w:tblLook w:firstRow="0" w:noVBand="0" w:lastRow="0" w:firstColumn="0" w:lastColumn="0" w:noHBand="0" w:val="0000"/>
      </w:tblPr>
      <w:tblGrid>
        <w:gridCol w:w="554"/>
        <w:gridCol w:w="2399"/>
        <w:gridCol w:w="1266"/>
        <w:gridCol w:w="10"/>
        <w:gridCol w:w="1268"/>
        <w:gridCol w:w="6"/>
        <w:gridCol w:w="986"/>
        <w:gridCol w:w="9"/>
        <w:gridCol w:w="909"/>
        <w:gridCol w:w="876"/>
        <w:gridCol w:w="708"/>
        <w:gridCol w:w="568"/>
        <w:gridCol w:w="707"/>
        <w:gridCol w:w="9"/>
        <w:gridCol w:w="701"/>
        <w:gridCol w:w="719"/>
        <w:gridCol w:w="856"/>
        <w:gridCol w:w="976"/>
        <w:gridCol w:w="1419"/>
      </w:tblGrid>
      <w:tr>
        <w:trPr>
          <w:trHeight w:val="320" w:hRule="atLeast"/>
          <w:cantSplit w:val="true"/>
        </w:trPr>
        <w:tc>
          <w:tcPr>
            <w:tcW w:w="55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left="-137"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w:t>
            </w:r>
          </w:p>
          <w:p>
            <w:pPr>
              <w:pStyle w:val="Normal"/>
              <w:widowControl w:val="false"/>
              <w:suppressAutoHyphens w:val="true"/>
              <w:spacing w:lineRule="auto" w:line="252" w:before="0" w:after="0"/>
              <w:ind w:left="-137"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п/п</w:t>
            </w:r>
          </w:p>
        </w:tc>
        <w:tc>
          <w:tcPr>
            <w:tcW w:w="239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Мероприятия подпрограммы</w:t>
            </w:r>
          </w:p>
        </w:tc>
        <w:tc>
          <w:tcPr>
            <w:tcW w:w="126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Срок исполнения мероприятия</w:t>
            </w:r>
          </w:p>
        </w:tc>
        <w:tc>
          <w:tcPr>
            <w:tcW w:w="1278"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Источники финансирования</w:t>
            </w:r>
          </w:p>
        </w:tc>
        <w:tc>
          <w:tcPr>
            <w:tcW w:w="992"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Всего,</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тыс. руб.</w:t>
            </w:r>
          </w:p>
        </w:tc>
        <w:tc>
          <w:tcPr>
            <w:tcW w:w="7038" w:type="dxa"/>
            <w:gridSpan w:val="11"/>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ru-RU"/>
              </w:rPr>
              <w:t>Объем финансирования по годам (тыс. руб.)</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left="74" w:firstLine="68"/>
              <w:jc w:val="both"/>
              <w:rPr>
                <w:rFonts w:ascii="Times New Roman" w:hAnsi="Times New Roman" w:cs="Times New Roman"/>
                <w:sz w:val="20"/>
                <w:szCs w:val="20"/>
                <w:lang w:eastAsia="zh-CN"/>
              </w:rPr>
            </w:pPr>
            <w:r>
              <w:rPr>
                <w:rFonts w:cs="Times New Roman" w:ascii="Times New Roman" w:hAnsi="Times New Roman"/>
                <w:sz w:val="20"/>
                <w:szCs w:val="20"/>
                <w:lang w:eastAsia="ru-RU"/>
              </w:rPr>
              <w:t>Ответственный за выполнение мероприятий подпрограммы</w:t>
            </w:r>
          </w:p>
        </w:tc>
      </w:tr>
      <w:tr>
        <w:trPr>
          <w:trHeight w:val="627" w:hRule="atLeast"/>
          <w:cantSplit w:val="true"/>
        </w:trPr>
        <w:tc>
          <w:tcPr>
            <w:tcW w:w="55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6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2"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1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ru-RU"/>
              </w:rPr>
              <w:t>20</w:t>
            </w:r>
            <w:r>
              <w:rPr>
                <w:rFonts w:cs="Times New Roman" w:ascii="Times New Roman" w:hAnsi="Times New Roman"/>
                <w:sz w:val="20"/>
                <w:szCs w:val="20"/>
                <w:lang w:val="en-US" w:eastAsia="ru-RU"/>
              </w:rPr>
              <w:t>2</w:t>
            </w:r>
            <w:r>
              <w:rPr>
                <w:rFonts w:cs="Times New Roman" w:ascii="Times New Roman" w:hAnsi="Times New Roman"/>
                <w:sz w:val="20"/>
                <w:szCs w:val="20"/>
                <w:lang w:eastAsia="ru-RU"/>
              </w:rPr>
              <w:t>3</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ru-RU"/>
              </w:rPr>
            </w:pPr>
            <w:r>
              <w:rPr>
                <w:rFonts w:cs="Times New Roman" w:ascii="Times New Roman" w:hAnsi="Times New Roman"/>
                <w:sz w:val="20"/>
                <w:szCs w:val="20"/>
                <w:lang w:eastAsia="ru-RU"/>
              </w:rPr>
              <w:t>2024</w:t>
            </w:r>
          </w:p>
        </w:tc>
        <w:tc>
          <w:tcPr>
            <w:tcW w:w="3412" w:type="dxa"/>
            <w:gridSpan w:val="6"/>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ru-RU"/>
              </w:rPr>
              <w:t>20</w:t>
            </w:r>
            <w:r>
              <w:rPr>
                <w:rFonts w:cs="Times New Roman" w:ascii="Times New Roman" w:hAnsi="Times New Roman"/>
                <w:sz w:val="20"/>
                <w:szCs w:val="20"/>
                <w:lang w:val="en-US" w:eastAsia="ru-RU"/>
              </w:rPr>
              <w:t>2</w:t>
            </w:r>
            <w:r>
              <w:rPr>
                <w:rFonts w:cs="Times New Roman" w:ascii="Times New Roman" w:hAnsi="Times New Roman"/>
                <w:sz w:val="20"/>
                <w:szCs w:val="20"/>
                <w:lang w:eastAsia="ru-RU"/>
              </w:rPr>
              <w:t>5</w:t>
            </w:r>
          </w:p>
        </w:tc>
        <w:tc>
          <w:tcPr>
            <w:tcW w:w="856"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ru-RU"/>
              </w:rPr>
              <w:t>2026</w:t>
            </w:r>
          </w:p>
        </w:tc>
        <w:tc>
          <w:tcPr>
            <w:tcW w:w="976" w:type="dxa"/>
            <w:tcBorders>
              <w:top w:val="single" w:sz="4" w:space="0" w:color="000000"/>
              <w:left w:val="single" w:sz="4" w:space="0" w:color="000000"/>
              <w:bottom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ru-RU"/>
              </w:rPr>
              <w:t>2027</w:t>
            </w:r>
          </w:p>
        </w:tc>
        <w:tc>
          <w:tcPr>
            <w:tcW w:w="141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val="en-US" w:eastAsia="ru-RU"/>
              </w:rPr>
            </w:pPr>
            <w:r>
              <w:rPr>
                <w:rFonts w:cs="Times New Roman" w:ascii="Times New Roman" w:hAnsi="Times New Roman"/>
                <w:sz w:val="20"/>
                <w:szCs w:val="20"/>
                <w:lang w:val="en-US" w:eastAsia="ru-RU"/>
              </w:rPr>
            </w:r>
          </w:p>
        </w:tc>
      </w:tr>
      <w:tr>
        <w:trPr>
          <w:trHeight w:val="253" w:hRule="atLeast"/>
        </w:trPr>
        <w:tc>
          <w:tcPr>
            <w:tcW w:w="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1</w:t>
            </w:r>
          </w:p>
        </w:tc>
        <w:tc>
          <w:tcPr>
            <w:tcW w:w="2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ru-RU"/>
              </w:rPr>
              <w:t>2</w:t>
            </w:r>
          </w:p>
        </w:tc>
        <w:tc>
          <w:tcPr>
            <w:tcW w:w="127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ru-RU"/>
              </w:rPr>
              <w:t>3</w:t>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ru-RU"/>
              </w:rPr>
              <w:t>4</w:t>
            </w:r>
          </w:p>
        </w:tc>
        <w:tc>
          <w:tcPr>
            <w:tcW w:w="99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zh-CN"/>
              </w:rPr>
              <w:t>5</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zh-CN"/>
              </w:rPr>
              <w:t>6</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zh-CN"/>
              </w:rPr>
              <w:t>7</w:t>
            </w:r>
          </w:p>
        </w:tc>
        <w:tc>
          <w:tcPr>
            <w:tcW w:w="3412" w:type="dxa"/>
            <w:gridSpan w:val="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zh-CN"/>
              </w:rPr>
              <w:t>8</w:t>
            </w:r>
          </w:p>
        </w:tc>
        <w:tc>
          <w:tcPr>
            <w:tcW w:w="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zh-CN"/>
              </w:rPr>
              <w:t>9</w:t>
            </w:r>
          </w:p>
        </w:tc>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zh-CN"/>
              </w:rPr>
              <w:t>10</w:t>
            </w:r>
          </w:p>
        </w:tc>
        <w:tc>
          <w:tcPr>
            <w:tcW w:w="1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spacing w:lineRule="auto" w:line="252" w:before="0" w:after="0"/>
              <w:ind w:firstLine="142"/>
              <w:jc w:val="center"/>
              <w:rPr>
                <w:rFonts w:ascii="Times New Roman" w:hAnsi="Times New Roman" w:cs="Times New Roman"/>
                <w:sz w:val="20"/>
                <w:szCs w:val="20"/>
                <w:lang w:eastAsia="zh-CN"/>
              </w:rPr>
            </w:pPr>
            <w:r>
              <w:rPr>
                <w:rFonts w:cs="Times New Roman" w:ascii="Times New Roman" w:hAnsi="Times New Roman"/>
                <w:sz w:val="20"/>
                <w:szCs w:val="20"/>
                <w:lang w:eastAsia="zh-CN"/>
              </w:rPr>
              <w:t>11</w:t>
            </w:r>
          </w:p>
        </w:tc>
      </w:tr>
      <w:tr>
        <w:trPr>
          <w:trHeight w:val="655" w:hRule="atLeast"/>
        </w:trPr>
        <w:tc>
          <w:tcPr>
            <w:tcW w:w="554"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1.</w:t>
            </w:r>
          </w:p>
        </w:tc>
        <w:tc>
          <w:tcPr>
            <w:tcW w:w="2399"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Основное мероприятие 01.</w:t>
            </w:r>
          </w:p>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Развитие потребительского рынка и услуг на территории муниципального образования Московской области</w:t>
            </w:r>
          </w:p>
        </w:tc>
        <w:tc>
          <w:tcPr>
            <w:tcW w:w="1276"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w:t>
            </w:r>
            <w:r>
              <w:rPr>
                <w:rFonts w:cs="Times New Roman" w:ascii="Times New Roman" w:hAnsi="Times New Roman"/>
                <w:sz w:val="20"/>
                <w:szCs w:val="20"/>
                <w:lang w:val="en-US" w:eastAsia="ru-RU"/>
              </w:rPr>
              <w:t>2</w:t>
            </w:r>
            <w:r>
              <w:rPr>
                <w:rFonts w:cs="Times New Roman" w:ascii="Times New Roman" w:hAnsi="Times New Roman"/>
                <w:sz w:val="20"/>
                <w:szCs w:val="20"/>
                <w:lang w:eastAsia="ru-RU"/>
              </w:rPr>
              <w:t>3-2027</w:t>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w:t>
            </w:r>
          </w:p>
        </w:tc>
        <w:tc>
          <w:tcPr>
            <w:tcW w:w="9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3412"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655"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бюджета городского округа</w:t>
            </w:r>
          </w:p>
        </w:tc>
        <w:tc>
          <w:tcPr>
            <w:tcW w:w="9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3412"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466" w:hRule="atLeast"/>
        </w:trPr>
        <w:tc>
          <w:tcPr>
            <w:tcW w:w="554"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внебюджетные средства</w:t>
            </w:r>
          </w:p>
        </w:tc>
        <w:tc>
          <w:tcPr>
            <w:tcW w:w="99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3412"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юридические и физические лица</w:t>
            </w:r>
          </w:p>
        </w:tc>
      </w:tr>
      <w:tr>
        <w:trPr>
          <w:trHeight w:val="800" w:hRule="atLeast"/>
        </w:trPr>
        <w:tc>
          <w:tcPr>
            <w:tcW w:w="554"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1.1.</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01.01</w:t>
            </w:r>
          </w:p>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Содействие вводу (строительству) новых современных объектов потребительского рынка в рамках реализации мероприятий, содействующих развитию торговой деятельности</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внебюджетные средства</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0</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юридические и физические лица</w:t>
            </w:r>
          </w:p>
        </w:tc>
      </w:tr>
      <w:tr>
        <w:trPr>
          <w:trHeight w:val="210"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2399"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b/>
                <w:sz w:val="20"/>
                <w:szCs w:val="20"/>
                <w:lang w:eastAsia="ru-RU"/>
              </w:rPr>
            </w:pPr>
            <w:r>
              <w:rPr>
                <w:rFonts w:eastAsia="Times New Roman" w:cs="Times New Roman" w:ascii="Times New Roman" w:hAnsi="Times New Roman"/>
                <w:sz w:val="20"/>
                <w:szCs w:val="20"/>
                <w:lang w:eastAsia="ru-RU"/>
              </w:rPr>
              <w:t xml:space="preserve">Площадь торговых объектов предприятий розничной торговли (нарастающим итогом), </w:t>
              <w:br/>
              <w:t>тыс. кв. м</w:t>
            </w:r>
          </w:p>
        </w:tc>
        <w:tc>
          <w:tcPr>
            <w:tcW w:w="1276"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274"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210"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sz w:val="20"/>
                <w:szCs w:val="20"/>
                <w:lang w:val="en-US" w:eastAsia="ru-RU"/>
              </w:rPr>
              <w:t>I</w:t>
            </w:r>
          </w:p>
        </w:tc>
        <w:tc>
          <w:tcPr>
            <w:tcW w:w="70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10"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976"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r>
      <w:tr>
        <w:trPr>
          <w:trHeight w:val="420" w:hRule="atLeast"/>
        </w:trPr>
        <w:tc>
          <w:tcPr>
            <w:tcW w:w="554"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2399"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1276"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1274"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39,8</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39,7</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39,8</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39,9</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91"/>
              <w:jc w:val="both"/>
              <w:rPr>
                <w:rFonts w:ascii="Times New Roman" w:hAnsi="Times New Roman" w:cs="Times New Roman"/>
                <w:sz w:val="20"/>
                <w:szCs w:val="20"/>
                <w:lang w:eastAsia="ru-RU"/>
              </w:rPr>
            </w:pPr>
            <w:r>
              <w:rPr>
                <w:rFonts w:cs="Times New Roman" w:ascii="Times New Roman" w:hAnsi="Times New Roman"/>
                <w:sz w:val="20"/>
                <w:szCs w:val="20"/>
                <w:lang w:eastAsia="ru-RU"/>
              </w:rPr>
              <w:t>39,8</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39,8</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39,8</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39,9</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39,8</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39,8</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b/>
                <w:sz w:val="20"/>
                <w:szCs w:val="20"/>
                <w:lang w:eastAsia="ru-RU"/>
              </w:rPr>
            </w:pPr>
            <w:r>
              <w:rPr>
                <w:rFonts w:cs="Times New Roman" w:ascii="Times New Roman" w:hAnsi="Times New Roman"/>
                <w:b/>
                <w:sz w:val="20"/>
                <w:szCs w:val="20"/>
                <w:lang w:eastAsia="ru-RU"/>
              </w:rPr>
            </w:r>
          </w:p>
        </w:tc>
      </w:tr>
      <w:tr>
        <w:trPr>
          <w:trHeight w:val="420" w:hRule="atLeast"/>
        </w:trPr>
        <w:tc>
          <w:tcPr>
            <w:tcW w:w="554" w:type="dxa"/>
            <w:vMerge w:val="restart"/>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1.2.</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01.02</w:t>
            </w:r>
          </w:p>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Организация и проведение ярмарок с участием субъектов малого и среднего предпринимательства и производителей сельскохозяйственной продукции Московской области</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263"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rPr>
              <w:t>Организованы и проведены ярмарки, единиц</w:t>
            </w:r>
          </w:p>
        </w:tc>
        <w:tc>
          <w:tcPr>
            <w:tcW w:w="1276" w:type="dxa"/>
            <w:gridSpan w:val="2"/>
            <w:vMerge w:val="restart"/>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274" w:type="dxa"/>
            <w:gridSpan w:val="2"/>
            <w:vMerge w:val="restart"/>
            <w:tcBorders>
              <w:top w:val="single" w:sz="4" w:space="0" w:color="000000"/>
              <w:left w:val="single" w:sz="4" w:space="0" w:color="000000"/>
            </w:tcBorders>
            <w:shd w:color="auto" w:fill="auto" w:val="clear"/>
          </w:tcPr>
          <w:p>
            <w:pPr>
              <w:pStyle w:val="Normal"/>
              <w:widowControl w:val="false"/>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262"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70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10"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15"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60</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12</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12</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12</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6</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9</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12</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12</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12</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1718" w:hRule="atLeast"/>
        </w:trPr>
        <w:tc>
          <w:tcPr>
            <w:tcW w:w="554" w:type="dxa"/>
            <w:vMerge w:val="restart"/>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1.3.</w:t>
            </w:r>
          </w:p>
        </w:tc>
        <w:tc>
          <w:tcPr>
            <w:tcW w:w="2399" w:type="dxa"/>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01.04</w:t>
            </w:r>
          </w:p>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Развитие дистанционной торговли рынка на территории муниципального образования Московской области</w:t>
            </w:r>
          </w:p>
        </w:tc>
        <w:tc>
          <w:tcPr>
            <w:tcW w:w="1276" w:type="dxa"/>
            <w:gridSpan w:val="2"/>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top w:val="single" w:sz="4" w:space="0" w:color="000000"/>
              <w:left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285"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eastAsia="Times New Roman" w:cs="Times New Roman" w:ascii="Times New Roman" w:hAnsi="Times New Roman"/>
                <w:sz w:val="20"/>
                <w:szCs w:val="20"/>
                <w:lang w:eastAsia="ru-RU"/>
              </w:rPr>
              <w:t>Количество пунктов выдачи интернет-заказов и постаматов (нарастающим итогом), единиц</w:t>
            </w:r>
          </w:p>
        </w:tc>
        <w:tc>
          <w:tcPr>
            <w:tcW w:w="1276" w:type="dxa"/>
            <w:gridSpan w:val="2"/>
            <w:vMerge w:val="restart"/>
            <w:tcBorders>
              <w:top w:val="single" w:sz="4" w:space="0" w:color="000000"/>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274" w:type="dxa"/>
            <w:gridSpan w:val="2"/>
            <w:vMerge w:val="restart"/>
            <w:tcBorders>
              <w:top w:val="single" w:sz="4" w:space="0" w:color="000000"/>
              <w:left w:val="single" w:sz="4" w:space="0" w:color="000000"/>
            </w:tcBorders>
            <w:shd w:color="auto" w:fill="auto" w:val="clear"/>
          </w:tcPr>
          <w:p>
            <w:pPr>
              <w:pStyle w:val="Normal"/>
              <w:widowControl w:val="false"/>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285"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70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10"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566"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30</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10</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25</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30</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7</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24</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29</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30</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30</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30</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800" w:hRule="atLeast"/>
        </w:trPr>
        <w:tc>
          <w:tcPr>
            <w:tcW w:w="554"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1.4.</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01.05</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Разработка, согласование и утверждение в муниципальном образовании Московской области схем размещения нестационарных торговых объектов, а также демонтаж и утилизация нестационарных торговых объектов, размещение которых не соответствует схеме размещения нестационарных торговых объектов.</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398" w:hRule="atLeast"/>
        </w:trPr>
        <w:tc>
          <w:tcPr>
            <w:tcW w:w="554"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rPr>
            </w:pPr>
            <w:r>
              <w:rPr>
                <w:rFonts w:cs="Times New Roman" w:ascii="Times New Roman" w:hAnsi="Times New Roman"/>
                <w:sz w:val="20"/>
                <w:szCs w:val="20"/>
              </w:rPr>
              <w:t>Нестационарные торговые объекты размещены на основании схем размещения нестационарных торговых объектов и договоров (нарастающим итогом), единиц</w:t>
            </w:r>
          </w:p>
        </w:tc>
        <w:tc>
          <w:tcPr>
            <w:tcW w:w="1276"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2023-2025</w:t>
            </w:r>
          </w:p>
        </w:tc>
        <w:tc>
          <w:tcPr>
            <w:tcW w:w="1274"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397" w:hRule="atLeast"/>
        </w:trPr>
        <w:tc>
          <w:tcPr>
            <w:tcW w:w="554"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70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10"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800" w:hRule="atLeast"/>
        </w:trPr>
        <w:tc>
          <w:tcPr>
            <w:tcW w:w="554"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89</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89</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89</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800" w:hRule="atLeast"/>
        </w:trPr>
        <w:tc>
          <w:tcPr>
            <w:tcW w:w="554"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Вновь установлены специализированные нестационарные торговые объекты на основании схем размещения и договоров (нарастающим итогом), единиц</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2026-2027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70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707"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710"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71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800" w:hRule="atLeast"/>
        </w:trPr>
        <w:tc>
          <w:tcPr>
            <w:tcW w:w="554"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1.5.</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01.06.</w:t>
            </w:r>
          </w:p>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Создание условий для обеспечения жителей муниципального образования услугами связи, общественного питания, торговли и бытового обслуживания</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val="en-US" w:eastAsia="ru-RU"/>
              </w:rPr>
            </w:pPr>
            <w:r>
              <w:rPr>
                <w:rFonts w:cs="Times New Roman" w:ascii="Times New Roman" w:hAnsi="Times New Roman"/>
                <w:sz w:val="20"/>
                <w:szCs w:val="20"/>
                <w:lang w:val="en-US"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398" w:hRule="atLeast"/>
        </w:trPr>
        <w:tc>
          <w:tcPr>
            <w:tcW w:w="554"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rPr>
                <w:rFonts w:ascii="Times New Roman" w:hAnsi="Times New Roman" w:cs="Times New Roman"/>
                <w:sz w:val="20"/>
                <w:szCs w:val="20"/>
                <w:lang w:eastAsia="zh-CN"/>
              </w:rPr>
            </w:pPr>
            <w:r>
              <w:rPr>
                <w:rFonts w:cs="Times New Roman" w:ascii="Times New Roman" w:hAnsi="Times New Roman"/>
                <w:sz w:val="20"/>
                <w:szCs w:val="20"/>
              </w:rPr>
              <w:t>Организованы и проведены мероприятия за счет средств бюджета муниципального образования, единиц</w:t>
            </w:r>
          </w:p>
        </w:tc>
        <w:tc>
          <w:tcPr>
            <w:tcW w:w="1276"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274"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 xml:space="preserve">2024 </w:t>
            </w:r>
            <w:r>
              <w:rPr>
                <w:rFonts w:cs="Times New Roman" w:ascii="Times New Roman" w:hAnsi="Times New Roman"/>
                <w:sz w:val="20"/>
                <w:szCs w:val="20"/>
                <w:lang w:eastAsia="ru-RU"/>
              </w:rPr>
              <w:t>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397" w:hRule="atLeast"/>
        </w:trPr>
        <w:tc>
          <w:tcPr>
            <w:tcW w:w="554"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70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10"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70" w:hRule="atLeast"/>
        </w:trPr>
        <w:tc>
          <w:tcPr>
            <w:tcW w:w="554"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422" w:hRule="atLeast"/>
        </w:trPr>
        <w:tc>
          <w:tcPr>
            <w:tcW w:w="554"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1.6.</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01.07.</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Предоставление сельскохозяйственным товаропроизводителям и организациям потребительской кооперации (субъектам малого и среднего предпринимательства, физическим лицам, не являющимися индивидуальными предпринимателями и применяющими специальный налоговый режим «Налог на профессиональный доход») мест для размещения нестационарных торговых объектов без проведения торгов на льготных условиях или на безвозмездной основе</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398"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eastAsia="Times New Roman" w:cs="Times New Roman" w:ascii="Times New Roman" w:hAnsi="Times New Roman"/>
                <w:color w:val="000000"/>
                <w:sz w:val="20"/>
                <w:szCs w:val="20"/>
                <w:lang w:eastAsia="ru-RU"/>
              </w:rPr>
              <w:t>Предоставлены места без проведения аукционов на льготных условиях или на безвозмездной основе, единиц</w:t>
            </w:r>
          </w:p>
        </w:tc>
        <w:tc>
          <w:tcPr>
            <w:tcW w:w="1276"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274"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397"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70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10"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453" w:hRule="atLeast"/>
        </w:trPr>
        <w:tc>
          <w:tcPr>
            <w:tcW w:w="554"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14</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5</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800" w:hRule="atLeast"/>
        </w:trPr>
        <w:tc>
          <w:tcPr>
            <w:tcW w:w="554"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hanging="75"/>
              <w:jc w:val="both"/>
              <w:rPr>
                <w:rFonts w:ascii="Times New Roman" w:hAnsi="Times New Roman" w:cs="Times New Roman"/>
                <w:sz w:val="20"/>
                <w:szCs w:val="20"/>
                <w:lang w:eastAsia="zh-CN"/>
              </w:rPr>
            </w:pPr>
            <w:r>
              <w:rPr>
                <w:rFonts w:cs="Times New Roman" w:ascii="Times New Roman" w:hAnsi="Times New Roman"/>
                <w:sz w:val="20"/>
                <w:szCs w:val="20"/>
                <w:lang w:eastAsia="ru-RU"/>
              </w:rPr>
              <w:t>1.7.</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01.08.</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Предоставление субъектам малого или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 мест для размещения нестационарных торговых объектов без проведения торгов на льготных условиях при размещении мобильного торгового объекта.</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398"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eastAsia="Times New Roman" w:cs="Times New Roman" w:ascii="Times New Roman" w:hAnsi="Times New Roman"/>
                <w:color w:val="000000"/>
                <w:sz w:val="20"/>
                <w:szCs w:val="20"/>
                <w:lang w:eastAsia="ru-RU"/>
              </w:rPr>
              <w:t xml:space="preserve">Предоставлены места </w:t>
            </w:r>
            <w:r>
              <w:rPr>
                <w:rFonts w:cs="Times New Roman" w:ascii="Times New Roman" w:hAnsi="Times New Roman"/>
                <w:sz w:val="20"/>
                <w:szCs w:val="20"/>
              </w:rPr>
              <w:t>без проведения торгов на льготных условиях при организации мобильной торговли</w:t>
            </w:r>
            <w:r>
              <w:rPr>
                <w:rFonts w:eastAsia="Times New Roman" w:cs="Times New Roman" w:ascii="Times New Roman" w:hAnsi="Times New Roman"/>
                <w:color w:val="000000"/>
                <w:sz w:val="20"/>
                <w:szCs w:val="20"/>
                <w:lang w:eastAsia="ru-RU"/>
              </w:rPr>
              <w:t>, единиц</w:t>
            </w:r>
          </w:p>
        </w:tc>
        <w:tc>
          <w:tcPr>
            <w:tcW w:w="1276"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274"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397"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70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10"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430" w:hRule="atLeast"/>
        </w:trPr>
        <w:tc>
          <w:tcPr>
            <w:tcW w:w="554"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23</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6</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7</w:t>
            </w:r>
          </w:p>
        </w:tc>
        <w:tc>
          <w:tcPr>
            <w:tcW w:w="1419"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414" w:hRule="atLeast"/>
        </w:trPr>
        <w:tc>
          <w:tcPr>
            <w:tcW w:w="5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Основное мероприятие 51.</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Развитие сферы общественного питания на территории муниципального образования Московской области</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2000" w:hRule="atLeast"/>
        </w:trPr>
        <w:tc>
          <w:tcPr>
            <w:tcW w:w="554"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2.1.</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51.01</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Содействие увеличению уровня обеспеченности населения муниципального образования Московской области предприятиями общественного питания</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398"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rPr>
              <w:t>Количество посадочных мест на предприятиях общественного питания (нарастающим итогом), посадочных мест</w:t>
            </w:r>
          </w:p>
        </w:tc>
        <w:tc>
          <w:tcPr>
            <w:tcW w:w="1276"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274"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299"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70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10"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403" w:hRule="atLeast"/>
        </w:trPr>
        <w:tc>
          <w:tcPr>
            <w:tcW w:w="554"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2263</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2228</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2263</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2278</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67"/>
              <w:jc w:val="both"/>
              <w:rPr>
                <w:rFonts w:ascii="Times New Roman" w:hAnsi="Times New Roman" w:cs="Times New Roman"/>
                <w:sz w:val="20"/>
                <w:szCs w:val="20"/>
                <w:lang w:eastAsia="ru-RU"/>
              </w:rPr>
            </w:pPr>
            <w:r>
              <w:rPr>
                <w:rFonts w:cs="Times New Roman" w:ascii="Times New Roman" w:hAnsi="Times New Roman"/>
                <w:sz w:val="20"/>
                <w:szCs w:val="20"/>
                <w:lang w:eastAsia="ru-RU"/>
              </w:rPr>
              <w:t>2180</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2200</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2250</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2278</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2263</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2263</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800" w:hRule="atLeast"/>
        </w:trPr>
        <w:tc>
          <w:tcPr>
            <w:tcW w:w="5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3.</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Основное мероприятие 52.</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Развитие сферы бытовых услуг на территории муниципального образования Московской области</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800" w:hRule="atLeast"/>
        </w:trPr>
        <w:tc>
          <w:tcPr>
            <w:tcW w:w="554"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zh-CN"/>
              </w:rPr>
            </w:pPr>
            <w:r>
              <w:rPr>
                <w:rFonts w:cs="Times New Roman" w:ascii="Times New Roman" w:hAnsi="Times New Roman"/>
                <w:sz w:val="20"/>
                <w:szCs w:val="20"/>
                <w:lang w:eastAsia="ru-RU"/>
              </w:rPr>
              <w:t>3.1.</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52.01</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Содействие увеличению уровня обеспеченности населения муниципального образования Московской области предприятиями бытового обслуживания</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398"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sz w:val="20"/>
                <w:szCs w:val="20"/>
                <w:lang w:eastAsia="ru-RU"/>
              </w:rPr>
            </w:pPr>
            <w:r>
              <w:rPr>
                <w:rFonts w:cs="Times New Roman" w:ascii="Times New Roman" w:hAnsi="Times New Roman"/>
                <w:sz w:val="20"/>
                <w:szCs w:val="20"/>
              </w:rPr>
              <w:t>Количество рабочих мест на предприятиях бытового обслуживания (нарастающим итогом), рабочих мест</w:t>
            </w:r>
          </w:p>
        </w:tc>
        <w:tc>
          <w:tcPr>
            <w:tcW w:w="1276"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1274"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271"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707"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10"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75" w:hRule="atLeast"/>
        </w:trPr>
        <w:tc>
          <w:tcPr>
            <w:tcW w:w="554"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401</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396</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401</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404</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401</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402</w:t>
            </w:r>
          </w:p>
        </w:tc>
        <w:tc>
          <w:tcPr>
            <w:tcW w:w="7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403</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404</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401</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401</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272" w:hRule="atLeast"/>
        </w:trPr>
        <w:tc>
          <w:tcPr>
            <w:tcW w:w="554"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4.</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Основное мероприятие 53.</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Участие в организации региональной системы защиты прав потребителей</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800" w:hRule="atLeast"/>
        </w:trPr>
        <w:tc>
          <w:tcPr>
            <w:tcW w:w="554"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zh-CN"/>
              </w:rPr>
            </w:pPr>
            <w:r>
              <w:rPr>
                <w:rFonts w:cs="Times New Roman" w:ascii="Times New Roman" w:hAnsi="Times New Roman"/>
                <w:sz w:val="20"/>
                <w:szCs w:val="20"/>
                <w:lang w:eastAsia="ru-RU"/>
              </w:rPr>
              <w:t>4.1.</w:t>
            </w:r>
          </w:p>
        </w:tc>
        <w:tc>
          <w:tcPr>
            <w:tcW w:w="2399"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53.01</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Рассмотрение обращений и жалоб, консультация граждан по вопросам защиты прав потребителей</w:t>
            </w:r>
          </w:p>
        </w:tc>
        <w:tc>
          <w:tcPr>
            <w:tcW w:w="1276"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398"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40" w:before="0" w:after="0"/>
              <w:rPr>
                <w:rFonts w:ascii="Times New Roman" w:hAnsi="Times New Roman" w:cs="Times New Roman"/>
                <w:sz w:val="20"/>
                <w:szCs w:val="20"/>
                <w:lang w:eastAsia="ru-RU"/>
              </w:rPr>
            </w:pPr>
            <w:r>
              <w:rPr>
                <w:rFonts w:cs="Times New Roman" w:ascii="Times New Roman" w:hAnsi="Times New Roman"/>
                <w:sz w:val="20"/>
                <w:szCs w:val="20"/>
              </w:rPr>
              <w:t>Поступило количество обращений и жалоб по вопросам защиты прав потребителей, единиц</w:t>
            </w:r>
          </w:p>
        </w:tc>
        <w:tc>
          <w:tcPr>
            <w:tcW w:w="1276"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2023 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tcBorders>
              <w:top w:val="single" w:sz="4" w:space="0" w:color="000000"/>
              <w:left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tcBorders>
              <w:top w:val="single" w:sz="4" w:space="0" w:color="000000"/>
              <w:left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tcBorders>
              <w:top w:val="single" w:sz="4" w:space="0" w:color="000000"/>
              <w:left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397" w:hRule="atLeast"/>
        </w:trPr>
        <w:tc>
          <w:tcPr>
            <w:tcW w:w="554"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left w:val="single" w:sz="4" w:space="0" w:color="000000"/>
              <w:bottom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val="en-US" w:eastAsia="ru-RU"/>
              </w:rPr>
            </w:pPr>
            <w:r>
              <w:rPr>
                <w:rFonts w:cs="Times New Roman" w:ascii="Times New Roman" w:hAnsi="Times New Roman"/>
                <w:sz w:val="20"/>
                <w:szCs w:val="20"/>
                <w:lang w:val="en-US" w:eastAsia="ru-RU"/>
              </w:rPr>
              <w:t>I</w:t>
            </w:r>
          </w:p>
        </w:tc>
        <w:tc>
          <w:tcPr>
            <w:tcW w:w="716"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01"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restart"/>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346" w:hRule="atLeast"/>
        </w:trPr>
        <w:tc>
          <w:tcPr>
            <w:tcW w:w="554"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90</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20</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19</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18</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4</w:t>
            </w:r>
          </w:p>
        </w:tc>
        <w:tc>
          <w:tcPr>
            <w:tcW w:w="71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8</w:t>
            </w:r>
          </w:p>
        </w:tc>
        <w:tc>
          <w:tcPr>
            <w:tcW w:w="7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13</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18</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17</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16</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800" w:hRule="atLeast"/>
        </w:trPr>
        <w:tc>
          <w:tcPr>
            <w:tcW w:w="55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zh-CN"/>
              </w:rPr>
            </w:pPr>
            <w:r>
              <w:rPr>
                <w:rFonts w:cs="Times New Roman" w:ascii="Times New Roman" w:hAnsi="Times New Roman"/>
                <w:sz w:val="20"/>
                <w:szCs w:val="20"/>
                <w:lang w:eastAsia="ru-RU"/>
              </w:rPr>
              <w:t>4.2.</w:t>
            </w:r>
          </w:p>
        </w:tc>
        <w:tc>
          <w:tcPr>
            <w:tcW w:w="23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Мероприятие 53.02</w:t>
            </w:r>
          </w:p>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Обращения в суды по вопросу защиты прав потребителей</w:t>
            </w:r>
          </w:p>
        </w:tc>
        <w:tc>
          <w:tcPr>
            <w:tcW w:w="127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zh-CN"/>
              </w:rPr>
            </w:pPr>
            <w:r>
              <w:rPr>
                <w:rFonts w:cs="Times New Roman" w:ascii="Times New Roman" w:hAnsi="Times New Roman"/>
                <w:sz w:val="20"/>
                <w:szCs w:val="20"/>
                <w:lang w:eastAsia="ru-RU"/>
              </w:rPr>
              <w:t>2023-2027</w:t>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предусмотренные на основную деятельность</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val="en-US" w:eastAsia="ru-RU"/>
              </w:rPr>
            </w:pPr>
            <w:r>
              <w:rPr>
                <w:rFonts w:cs="Times New Roman" w:ascii="Times New Roman" w:hAnsi="Times New Roman"/>
                <w:sz w:val="20"/>
                <w:szCs w:val="20"/>
                <w:lang w:val="en-US" w:eastAsia="ru-RU"/>
              </w:rPr>
              <w:t>-</w:t>
            </w:r>
          </w:p>
        </w:tc>
        <w:tc>
          <w:tcPr>
            <w:tcW w:w="8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3412" w:type="dxa"/>
            <w:gridSpan w:val="6"/>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85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976" w:type="dxa"/>
            <w:tcBorders>
              <w:top w:val="single" w:sz="4" w:space="0" w:color="000000"/>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398" w:hRule="atLeast"/>
        </w:trPr>
        <w:tc>
          <w:tcPr>
            <w:tcW w:w="5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rPr>
              <w:t>Количество обращений в суды по вопросам защиты прав потребителей (нарастающим итогом), единиц</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Всего</w:t>
            </w:r>
          </w:p>
        </w:tc>
        <w:tc>
          <w:tcPr>
            <w:tcW w:w="909"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 xml:space="preserve">2023 </w:t>
            </w:r>
            <w:r>
              <w:rPr>
                <w:rFonts w:cs="Times New Roman" w:ascii="Times New Roman" w:hAnsi="Times New Roman"/>
                <w:sz w:val="20"/>
                <w:szCs w:val="20"/>
                <w:lang w:eastAsia="ru-RU"/>
              </w:rPr>
              <w:t>год</w:t>
            </w:r>
          </w:p>
        </w:tc>
        <w:tc>
          <w:tcPr>
            <w:tcW w:w="876" w:type="dxa"/>
            <w:tcBorders>
              <w:top w:val="single" w:sz="4" w:space="0" w:color="000000"/>
              <w:left w:val="single" w:sz="4" w:space="0" w:color="000000"/>
              <w:right w:val="single" w:sz="4" w:space="0" w:color="000000"/>
            </w:tcBorders>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2024 год</w:t>
            </w:r>
          </w:p>
        </w:tc>
        <w:tc>
          <w:tcPr>
            <w:tcW w:w="708" w:type="dxa"/>
            <w:vMerge w:val="restart"/>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2025 год</w:t>
            </w:r>
          </w:p>
        </w:tc>
        <w:tc>
          <w:tcPr>
            <w:tcW w:w="2704" w:type="dxa"/>
            <w:gridSpan w:val="5"/>
            <w:tcBorders>
              <w:top w:val="single" w:sz="4" w:space="0" w:color="000000"/>
              <w:left w:val="single" w:sz="4" w:space="0" w:color="000000"/>
              <w:bottom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В том числе по кварталам</w:t>
            </w:r>
          </w:p>
        </w:tc>
        <w:tc>
          <w:tcPr>
            <w:tcW w:w="856" w:type="dxa"/>
            <w:tcBorders>
              <w:top w:val="single" w:sz="4" w:space="0" w:color="000000"/>
              <w:left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napToGrid w:val="fals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2026 год</w:t>
            </w:r>
          </w:p>
        </w:tc>
        <w:tc>
          <w:tcPr>
            <w:tcW w:w="976" w:type="dxa"/>
            <w:tcBorders>
              <w:top w:val="single" w:sz="4" w:space="0" w:color="000000"/>
              <w:left w:val="single" w:sz="4" w:space="0" w:color="000000"/>
              <w:right w:val="single" w:sz="4" w:space="0" w:color="000000"/>
            </w:tcBorders>
            <w:shd w:color="auto" w:fill="auto" w:val="clear"/>
          </w:tcPr>
          <w:p>
            <w:pPr>
              <w:pStyle w:val="Normal"/>
              <w:widowControl w:val="false"/>
              <w:tabs>
                <w:tab w:val="clear" w:pos="708"/>
                <w:tab w:val="left" w:pos="567" w:leader="none"/>
              </w:tabs>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2027 год</w:t>
            </w:r>
          </w:p>
        </w:tc>
        <w:tc>
          <w:tcPr>
            <w:tcW w:w="141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МКУ «Дирекция Наукограда»</w:t>
            </w:r>
          </w:p>
        </w:tc>
      </w:tr>
      <w:tr>
        <w:trPr>
          <w:trHeight w:val="397" w:hRule="atLeast"/>
        </w:trPr>
        <w:tc>
          <w:tcPr>
            <w:tcW w:w="5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09"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876" w:type="dxa"/>
            <w:tcBorders>
              <w:left w:val="single" w:sz="4" w:space="0" w:color="000000"/>
              <w:bottom w:val="single" w:sz="4" w:space="0" w:color="000000"/>
              <w:right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708" w:type="dxa"/>
            <w:vMerge w:val="continue"/>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568" w:type="dxa"/>
            <w:tcBorders>
              <w:left w:val="single" w:sz="4" w:space="0" w:color="000000"/>
              <w:bottom w:val="single" w:sz="4" w:space="0" w:color="000000"/>
            </w:tcBorders>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w:t>
            </w:r>
          </w:p>
        </w:tc>
        <w:tc>
          <w:tcPr>
            <w:tcW w:w="716" w:type="dxa"/>
            <w:gridSpan w:val="2"/>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w:t>
            </w:r>
          </w:p>
        </w:tc>
        <w:tc>
          <w:tcPr>
            <w:tcW w:w="701"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III</w:t>
            </w:r>
          </w:p>
        </w:tc>
        <w:tc>
          <w:tcPr>
            <w:tcW w:w="71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val="en-US" w:eastAsia="ru-RU"/>
              </w:rPr>
              <w:t>IV</w:t>
            </w:r>
          </w:p>
        </w:tc>
        <w:tc>
          <w:tcPr>
            <w:tcW w:w="856"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76" w:type="dxa"/>
            <w:tcBorders>
              <w:left w:val="single" w:sz="4" w:space="0" w:color="000000"/>
              <w:bottom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554" w:hRule="atLeast"/>
        </w:trPr>
        <w:tc>
          <w:tcPr>
            <w:tcW w:w="55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7"/>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239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6"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napToGrid w:val="fals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56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1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141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168" w:hRule="atLeast"/>
        </w:trPr>
        <w:tc>
          <w:tcPr>
            <w:tcW w:w="4229" w:type="dxa"/>
            <w:gridSpan w:val="4"/>
            <w:vMerge w:val="restart"/>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 по подпрограмме</w:t>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Итого</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341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141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Х</w:t>
            </w:r>
          </w:p>
        </w:tc>
      </w:tr>
      <w:tr>
        <w:trPr>
          <w:trHeight w:val="800" w:hRule="atLeast"/>
        </w:trPr>
        <w:tc>
          <w:tcPr>
            <w:tcW w:w="4229" w:type="dxa"/>
            <w:gridSpan w:val="4"/>
            <w:vMerge w:val="continue"/>
            <w:tcBorders>
              <w:left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Средства бюджета городского округа</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341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1419" w:type="dxa"/>
            <w:vMerge w:val="continue"/>
            <w:tcBorders>
              <w:left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r>
        <w:trPr>
          <w:trHeight w:val="570" w:hRule="atLeast"/>
        </w:trPr>
        <w:tc>
          <w:tcPr>
            <w:tcW w:w="4229" w:type="dxa"/>
            <w:gridSpan w:val="4"/>
            <w:vMerge w:val="continue"/>
            <w:tcBorders>
              <w:left w:val="single" w:sz="4" w:space="0" w:color="000000"/>
              <w:bottom w:val="single" w:sz="4" w:space="0" w:color="000000"/>
            </w:tcBorders>
            <w:shd w:color="auto" w:fill="auto" w:val="clear"/>
          </w:tcPr>
          <w:p>
            <w:pPr>
              <w:pStyle w:val="Normal"/>
              <w:widowControl w:val="false"/>
              <w:suppressAutoHyphens w:val="true"/>
              <w:spacing w:lineRule="auto" w:line="252" w:before="0" w:after="0"/>
              <w:ind w:firstLine="142"/>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c>
          <w:tcPr>
            <w:tcW w:w="1274"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zh-CN"/>
              </w:rPr>
            </w:pPr>
            <w:r>
              <w:rPr>
                <w:rFonts w:cs="Times New Roman" w:ascii="Times New Roman" w:hAnsi="Times New Roman"/>
                <w:sz w:val="20"/>
                <w:szCs w:val="20"/>
                <w:lang w:eastAsia="ru-RU"/>
              </w:rPr>
              <w:t>внебюджетные средства</w:t>
            </w:r>
          </w:p>
        </w:tc>
        <w:tc>
          <w:tcPr>
            <w:tcW w:w="995" w:type="dxa"/>
            <w:gridSpan w:val="2"/>
            <w:tcBorders>
              <w:top w:val="single" w:sz="4" w:space="0" w:color="000000"/>
              <w:left w:val="single" w:sz="4" w:space="0" w:color="000000"/>
              <w:bottom w:val="single" w:sz="4" w:space="0" w:color="000000"/>
            </w:tcBorders>
            <w:shd w:color="auto" w:fill="auto" w:val="clear"/>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09"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76" w:type="dxa"/>
            <w:tcBorders>
              <w:top w:val="single" w:sz="4" w:space="0" w:color="000000"/>
              <w:left w:val="single" w:sz="4" w:space="0" w:color="000000"/>
              <w:bottom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341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85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9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left="-142" w:firstLine="175"/>
              <w:jc w:val="both"/>
              <w:rPr>
                <w:rFonts w:ascii="Times New Roman" w:hAnsi="Times New Roman" w:cs="Times New Roman"/>
                <w:sz w:val="20"/>
                <w:szCs w:val="20"/>
                <w:lang w:eastAsia="ru-RU"/>
              </w:rPr>
            </w:pPr>
            <w:r>
              <w:rPr>
                <w:rFonts w:cs="Times New Roman" w:ascii="Times New Roman" w:hAnsi="Times New Roman"/>
                <w:sz w:val="20"/>
                <w:szCs w:val="20"/>
                <w:lang w:eastAsia="ru-RU"/>
              </w:rPr>
              <w:t>0</w:t>
            </w:r>
          </w:p>
        </w:tc>
        <w:tc>
          <w:tcPr>
            <w:tcW w:w="141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suppressAutoHyphens w:val="true"/>
              <w:spacing w:lineRule="auto" w:line="252"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tc>
      </w:tr>
    </w:tbl>
    <w:p>
      <w:pPr>
        <w:pStyle w:val="Normal"/>
        <w:suppressAutoHyphens w:val="true"/>
        <w:spacing w:lineRule="auto" w:line="252" w:before="0" w:after="0"/>
        <w:ind w:firstLine="142"/>
        <w:jc w:val="right"/>
        <w:rPr>
          <w:rFonts w:ascii="Times New Roman" w:hAnsi="Times New Roman" w:eastAsia="Calibri" w:cs="Times New Roman"/>
          <w:sz w:val="20"/>
          <w:szCs w:val="20"/>
          <w:lang w:eastAsia="ru-RU"/>
        </w:rPr>
      </w:pPr>
      <w:r>
        <w:rPr>
          <w:rFonts w:eastAsia="Calibri" w:cs="Times New Roman" w:ascii="Times New Roman" w:hAnsi="Times New Roman"/>
          <w:sz w:val="20"/>
          <w:szCs w:val="20"/>
          <w:lang w:eastAsia="ru-RU"/>
        </w:rPr>
        <w:t>».</w:t>
      </w:r>
    </w:p>
    <w:p>
      <w:pPr>
        <w:pStyle w:val="Normal"/>
        <w:spacing w:before="0" w:after="160"/>
        <w:rPr>
          <w:rFonts w:ascii="Times New Roman" w:hAnsi="Times New Roman" w:cs="Times New Roman"/>
        </w:rPr>
      </w:pPr>
      <w:r>
        <w:rPr>
          <w:rFonts w:cs="Times New Roman" w:ascii="Times New Roman" w:hAnsi="Times New Roman"/>
        </w:rPr>
      </w:r>
    </w:p>
    <w:sectPr>
      <w:headerReference w:type="default" r:id="rId12"/>
      <w:headerReference w:type="first" r:id="rId13"/>
      <w:type w:val="nextPage"/>
      <w:pgSz w:orient="landscape" w:w="16838" w:h="11906"/>
      <w:pgMar w:left="1134" w:right="1134" w:gutter="0" w:header="708" w:top="1701" w:footer="0" w:bottom="85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Times New Roman">
    <w:charset w:val="cc"/>
    <w:family w:val="roman"/>
    <w:pitch w:val="variable"/>
  </w:font>
  <w:font w:name="Arial">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9"/>
      <w:jc w:val="center"/>
      <w:rPr>
        <w:lang w:val="en-US"/>
      </w:rPr>
    </w:pPr>
    <w:r>
      <w:rPr/>
      <w:fldChar w:fldCharType="begin"/>
    </w:r>
    <w:r>
      <w:rPr/>
      <w:instrText xml:space="preserve"> PAGE </w:instrText>
    </w:r>
    <w:r>
      <w:rPr/>
      <w:fldChar w:fldCharType="separate"/>
    </w:r>
    <w:r>
      <w:rPr/>
      <w:t>8</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9"/>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9"/>
      <w:jc w:val="center"/>
      <w:rPr>
        <w:lang w:val="en-US"/>
      </w:rPr>
    </w:pPr>
    <w:r>
      <w:rPr/>
      <w:fldChar w:fldCharType="begin"/>
    </w:r>
    <w:r>
      <w:rPr/>
      <w:instrText xml:space="preserve"> PAGE </w:instrText>
    </w:r>
    <w:r>
      <w:rPr/>
      <w:fldChar w:fldCharType="separate"/>
    </w:r>
    <w:r>
      <w:rPr/>
      <w:t>34</w:t>
    </w:r>
    <w:r>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decimal"/>
      <w:lvlText w:val="%1."/>
      <w:lvlJc w:val="left"/>
      <w:pPr>
        <w:tabs>
          <w:tab w:val="num" w:pos="0"/>
        </w:tabs>
        <w:ind w:left="720" w:hanging="360"/>
      </w:pPr>
      <w:rPr/>
    </w:lvl>
    <w:lvl w:ilvl="1">
      <w:start w:val="1"/>
      <w:numFmt w:val="decimal"/>
      <w:lvlText w:val="%1.%2."/>
      <w:lvlJc w:val="left"/>
      <w:pPr>
        <w:tabs>
          <w:tab w:val="num" w:pos="708"/>
        </w:tabs>
        <w:ind w:left="1146" w:hanging="720"/>
      </w:pPr>
      <w:rPr>
        <w:b/>
        <w:rFonts w:ascii="Times New Roman" w:hAnsi="Times New Roman" w:cs="Times New Roman"/>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1980" w:hanging="1080"/>
      </w:pPr>
      <w:rPr/>
    </w:lvl>
    <w:lvl w:ilvl="4">
      <w:start w:val="1"/>
      <w:numFmt w:val="decimal"/>
      <w:lvlText w:val="%1.%2.%3.%4.%5."/>
      <w:lvlJc w:val="left"/>
      <w:pPr>
        <w:tabs>
          <w:tab w:val="num" w:pos="0"/>
        </w:tabs>
        <w:ind w:left="2160" w:hanging="1080"/>
      </w:pPr>
      <w:rPr/>
    </w:lvl>
    <w:lvl w:ilvl="5">
      <w:start w:val="1"/>
      <w:numFmt w:val="decimal"/>
      <w:lvlText w:val="%1.%2.%3.%4.%5.%6."/>
      <w:lvlJc w:val="left"/>
      <w:pPr>
        <w:tabs>
          <w:tab w:val="num" w:pos="0"/>
        </w:tabs>
        <w:ind w:left="2700" w:hanging="1440"/>
      </w:pPr>
      <w:rPr/>
    </w:lvl>
    <w:lvl w:ilvl="6">
      <w:start w:val="1"/>
      <w:numFmt w:val="decimal"/>
      <w:lvlText w:val="%1.%2.%3.%4.%5.%6.%7."/>
      <w:lvlJc w:val="left"/>
      <w:pPr>
        <w:tabs>
          <w:tab w:val="num" w:pos="0"/>
        </w:tabs>
        <w:ind w:left="2880" w:hanging="1440"/>
      </w:pPr>
      <w:rPr/>
    </w:lvl>
    <w:lvl w:ilvl="7">
      <w:start w:val="1"/>
      <w:numFmt w:val="decimal"/>
      <w:lvlText w:val="%1.%2.%3.%4.%5.%6.%7.%8."/>
      <w:lvlJc w:val="left"/>
      <w:pPr>
        <w:tabs>
          <w:tab w:val="num" w:pos="0"/>
        </w:tabs>
        <w:ind w:left="3420" w:hanging="1800"/>
      </w:pPr>
      <w:rPr/>
    </w:lvl>
    <w:lvl w:ilvl="8">
      <w:start w:val="1"/>
      <w:numFmt w:val="decimal"/>
      <w:lvlText w:val="%1.%2.%3.%4.%5.%6.%7.%8.%9."/>
      <w:lvlJc w:val="left"/>
      <w:pPr>
        <w:tabs>
          <w:tab w:val="num" w:pos="0"/>
        </w:tabs>
        <w:ind w:left="3960" w:hanging="216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qFormat/>
    <w:pPr>
      <w:keepNext w:val="true"/>
      <w:numPr>
        <w:ilvl w:val="0"/>
        <w:numId w:val="1"/>
      </w:numPr>
      <w:jc w:val="center"/>
      <w:outlineLvl w:val="0"/>
    </w:pPr>
    <w:rPr>
      <w:sz w:val="32"/>
    </w:rPr>
  </w:style>
  <w:style w:type="paragraph" w:styleId="3">
    <w:name w:val="Heading 3"/>
    <w:basedOn w:val="Normal"/>
    <w:next w:val="Normal"/>
    <w:qFormat/>
    <w:pPr>
      <w:keepNext w:val="true"/>
      <w:numPr>
        <w:ilvl w:val="2"/>
        <w:numId w:val="1"/>
      </w:numPr>
      <w:spacing w:before="60" w:after="0"/>
      <w:jc w:val="center"/>
      <w:outlineLvl w:val="2"/>
    </w:pPr>
    <w:rPr>
      <w:b/>
      <w:bCs/>
      <w:sz w:val="44"/>
    </w:rPr>
  </w:style>
  <w:style w:type="character" w:styleId="DefaultParagraphFont" w:default="1">
    <w:name w:val="Default Paragraph Font"/>
    <w:uiPriority w:val="1"/>
    <w:semiHidden/>
    <w:unhideWhenUsed/>
    <w:qFormat/>
    <w:rPr/>
  </w:style>
  <w:style w:type="character" w:styleId="Style12" w:customStyle="1">
    <w:name w:val="Верхний колонтитул Знак"/>
    <w:basedOn w:val="DefaultParagraphFont"/>
    <w:uiPriority w:val="99"/>
    <w:semiHidden/>
    <w:qFormat/>
    <w:rsid w:val="00e254c4"/>
    <w:rPr/>
  </w:style>
  <w:style w:type="paragraph" w:styleId="Style13">
    <w:name w:val="Заголовок"/>
    <w:basedOn w:val="Normal"/>
    <w:next w:val="Style14"/>
    <w:qFormat/>
    <w:pPr>
      <w:keepNext w:val="true"/>
      <w:spacing w:before="240" w:after="120"/>
    </w:pPr>
    <w:rPr>
      <w:rFonts w:ascii="Liberation Sans" w:hAnsi="Liberation Sans" w:eastAsia="Microsoft YaHei" w:cs="Lucida Sans"/>
      <w:sz w:val="28"/>
      <w:szCs w:val="28"/>
    </w:rPr>
  </w:style>
  <w:style w:type="paragraph" w:styleId="Style14">
    <w:name w:val="Body Text"/>
    <w:basedOn w:val="Normal"/>
    <w:pPr>
      <w:spacing w:lineRule="auto" w:line="276" w:before="0" w:after="140"/>
    </w:pPr>
    <w:rPr/>
  </w:style>
  <w:style w:type="paragraph" w:styleId="Style15">
    <w:name w:val="List"/>
    <w:basedOn w:val="Style14"/>
    <w:pPr/>
    <w:rPr>
      <w:rFonts w:cs="Lucida Sans"/>
    </w:rPr>
  </w:style>
  <w:style w:type="paragraph" w:styleId="Style16">
    <w:name w:val="Caption"/>
    <w:basedOn w:val="Normal"/>
    <w:qFormat/>
    <w:pPr>
      <w:suppressLineNumbers/>
      <w:spacing w:before="120" w:after="120"/>
    </w:pPr>
    <w:rPr>
      <w:rFonts w:cs="Lucida Sans"/>
      <w:i/>
      <w:iCs/>
      <w:sz w:val="24"/>
      <w:szCs w:val="24"/>
    </w:rPr>
  </w:style>
  <w:style w:type="paragraph" w:styleId="Style17">
    <w:name w:val="Указатель"/>
    <w:basedOn w:val="Normal"/>
    <w:qFormat/>
    <w:pPr>
      <w:suppressLineNumbers/>
    </w:pPr>
    <w:rPr>
      <w:rFonts w:cs="Lucida Sans"/>
    </w:rPr>
  </w:style>
  <w:style w:type="paragraph" w:styleId="Style18">
    <w:name w:val="Колонтитул"/>
    <w:basedOn w:val="Normal"/>
    <w:qFormat/>
    <w:pPr/>
    <w:rPr/>
  </w:style>
  <w:style w:type="paragraph" w:styleId="Style19">
    <w:name w:val="Header"/>
    <w:basedOn w:val="Normal"/>
    <w:link w:val="Style12"/>
    <w:uiPriority w:val="99"/>
    <w:semiHidden/>
    <w:unhideWhenUsed/>
    <w:rsid w:val="00e254c4"/>
    <w:pPr>
      <w:tabs>
        <w:tab w:val="clear" w:pos="708"/>
        <w:tab w:val="center" w:pos="4677" w:leader="none"/>
        <w:tab w:val="right" w:pos="9355"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image" Target="media/image5.png"/><Relationship Id="rId9" Type="http://schemas.openxmlformats.org/officeDocument/2006/relationships/image" Target="media/image6.wmf"/><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2573</TotalTime>
  <Application>LibreOffice/7.5.7.1$Windows_X86_64 LibreOffice_project/47eb0cf7efbacdee9b19ae25d6752381ede23126</Application>
  <AppVersion>15.0000</AppVersion>
  <Pages>34</Pages>
  <Words>7273</Words>
  <Characters>51863</Characters>
  <CharactersWithSpaces>58149</CharactersWithSpaces>
  <Paragraphs>1429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2025-05-22T09:45:00Z</dcterms:created>
  <dc:creator>Пользователь</dc:creator>
  <dc:description/>
  <dc:language>ru-RU</dc:language>
  <cp:lastModifiedBy/>
  <cp:lastPrinted>2025-09-11T11:31:59Z</cp:lastPrinted>
  <dcterms:modified xsi:type="dcterms:W3CDTF">2025-09-11T11:36:47Z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file>